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EC9" w:rsidRDefault="00E07EC9" w:rsidP="000A1465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297815</wp:posOffset>
            </wp:positionV>
            <wp:extent cx="6885305" cy="5328285"/>
            <wp:effectExtent l="19050" t="0" r="0" b="0"/>
            <wp:wrapSquare wrapText="bothSides"/>
            <wp:docPr id="2" name="Immagine 1" descr="C:\Users\Giacomo\Desktop\arteinlab-lavori in corso\letture visive Bozze\PRIMO OTTOCENTO\7 Go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arteinlab-lavori in corso\letture visive Bozze\PRIMO OTTOCENTO\7 Goy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305" cy="532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7EC9" w:rsidRDefault="00E07EC9" w:rsidP="000A1465"/>
    <w:p w:rsidR="00FE1A52" w:rsidRPr="000A1465" w:rsidRDefault="00FE1A52" w:rsidP="000A1465"/>
    <w:p w:rsidR="004C4712" w:rsidRPr="00BD03AE" w:rsidRDefault="004C4712" w:rsidP="00BD03AE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>CATALOGAZIONE:</w:t>
      </w:r>
    </w:p>
    <w:p w:rsidR="004C4712" w:rsidRPr="004C4712" w:rsidRDefault="004C4712" w:rsidP="004C4712">
      <w:pPr>
        <w:pStyle w:val="Paragrafoelenco"/>
        <w:jc w:val="both"/>
        <w:rPr>
          <w:b/>
        </w:rPr>
      </w:pPr>
    </w:p>
    <w:p w:rsidR="004C4712" w:rsidRDefault="004C4712" w:rsidP="00B308DE">
      <w:pPr>
        <w:pStyle w:val="Paragrafoelenco"/>
        <w:numPr>
          <w:ilvl w:val="0"/>
          <w:numId w:val="3"/>
        </w:numPr>
        <w:jc w:val="both"/>
        <w:rPr>
          <w:b/>
        </w:rPr>
      </w:pPr>
      <w:r>
        <w:rPr>
          <w:b/>
        </w:rPr>
        <w:t>Titolo dell’opera:</w:t>
      </w:r>
      <w:r w:rsidR="007732DF">
        <w:rPr>
          <w:b/>
        </w:rPr>
        <w:t xml:space="preserve"> </w:t>
      </w:r>
      <w:r w:rsidR="00A364E7">
        <w:t>“Le fucilazioni del 3 maggio 1808”</w:t>
      </w:r>
    </w:p>
    <w:p w:rsidR="00D9509A" w:rsidRDefault="004C4712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>Autore</w:t>
      </w:r>
      <w:r w:rsidR="007732DF" w:rsidRPr="00D9509A">
        <w:rPr>
          <w:b/>
        </w:rPr>
        <w:t xml:space="preserve">: </w:t>
      </w:r>
      <w:r w:rsidR="00A364E7">
        <w:t>Francisco Goya</w:t>
      </w:r>
    </w:p>
    <w:p w:rsidR="00816003" w:rsidRPr="00D9509A" w:rsidRDefault="008D716A" w:rsidP="00B308DE">
      <w:pPr>
        <w:pStyle w:val="Paragrafoelenco"/>
        <w:numPr>
          <w:ilvl w:val="0"/>
          <w:numId w:val="8"/>
        </w:numPr>
        <w:jc w:val="both"/>
        <w:rPr>
          <w:i/>
          <w:color w:val="FF0000"/>
        </w:rPr>
      </w:pPr>
      <w:r w:rsidRPr="00D9509A">
        <w:rPr>
          <w:b/>
        </w:rPr>
        <w:t xml:space="preserve">Datazione/Periodo storico: </w:t>
      </w:r>
      <w:r w:rsidR="00A364E7">
        <w:t>1814</w:t>
      </w:r>
    </w:p>
    <w:p w:rsidR="00785F50" w:rsidRPr="00FE1A52" w:rsidRDefault="00C12464" w:rsidP="008B01A3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>Tecniche e Materiali</w:t>
      </w:r>
      <w:r w:rsidR="00FE1A52">
        <w:rPr>
          <w:b/>
        </w:rPr>
        <w:t xml:space="preserve"> (o Supporti)</w:t>
      </w:r>
      <w:r w:rsidR="00D93635" w:rsidRPr="00816003">
        <w:rPr>
          <w:b/>
        </w:rPr>
        <w:t xml:space="preserve">: </w:t>
      </w:r>
      <w:r w:rsidR="00A364E7">
        <w:t>olio su tela</w:t>
      </w:r>
    </w:p>
    <w:p w:rsidR="00816003" w:rsidRPr="00FE1A52" w:rsidRDefault="00C63868" w:rsidP="003E68F8">
      <w:pPr>
        <w:pStyle w:val="Paragrafoelenco"/>
        <w:numPr>
          <w:ilvl w:val="0"/>
          <w:numId w:val="10"/>
        </w:numPr>
        <w:jc w:val="both"/>
        <w:rPr>
          <w:i/>
          <w:color w:val="FF0000"/>
        </w:rPr>
      </w:pPr>
      <w:r w:rsidRPr="00816003">
        <w:rPr>
          <w:b/>
        </w:rPr>
        <w:t xml:space="preserve">Dimensioni:  </w:t>
      </w:r>
      <w:r w:rsidR="00A364E7">
        <w:t>266 x 345</w:t>
      </w:r>
    </w:p>
    <w:p w:rsidR="00606FB6" w:rsidRPr="00E07EC9" w:rsidRDefault="00816003" w:rsidP="00627D5F">
      <w:pPr>
        <w:pStyle w:val="Paragrafoelenco"/>
        <w:numPr>
          <w:ilvl w:val="0"/>
          <w:numId w:val="10"/>
        </w:numPr>
        <w:jc w:val="both"/>
        <w:rPr>
          <w:b/>
        </w:rPr>
      </w:pPr>
      <w:r w:rsidRPr="00733669">
        <w:rPr>
          <w:b/>
        </w:rPr>
        <w:t xml:space="preserve">Collocazione attuale: </w:t>
      </w:r>
      <w:r w:rsidR="00A364E7">
        <w:t xml:space="preserve">Madrid, Museo del </w:t>
      </w:r>
      <w:proofErr w:type="spellStart"/>
      <w:r w:rsidR="00A364E7">
        <w:t>Prado</w:t>
      </w:r>
      <w:proofErr w:type="spellEnd"/>
    </w:p>
    <w:p w:rsidR="00E07EC9" w:rsidRDefault="00E07EC9" w:rsidP="00E07EC9">
      <w:pPr>
        <w:jc w:val="both"/>
        <w:rPr>
          <w:b/>
        </w:rPr>
      </w:pPr>
    </w:p>
    <w:p w:rsidR="00E07EC9" w:rsidRPr="00E07EC9" w:rsidRDefault="00E07EC9" w:rsidP="00E07EC9">
      <w:pPr>
        <w:jc w:val="both"/>
        <w:rPr>
          <w:b/>
        </w:rPr>
      </w:pPr>
    </w:p>
    <w:p w:rsidR="00627D5F" w:rsidRPr="00627D5F" w:rsidRDefault="00627D5F" w:rsidP="00627D5F">
      <w:pPr>
        <w:pStyle w:val="Paragrafoelenco"/>
        <w:jc w:val="both"/>
        <w:rPr>
          <w:b/>
        </w:rPr>
      </w:pPr>
    </w:p>
    <w:p w:rsidR="0055247D" w:rsidRDefault="00252EF0" w:rsidP="0055247D">
      <w:pPr>
        <w:pStyle w:val="Paragrafoelenco"/>
        <w:numPr>
          <w:ilvl w:val="0"/>
          <w:numId w:val="21"/>
        </w:numPr>
        <w:jc w:val="both"/>
        <w:rPr>
          <w:b/>
        </w:rPr>
      </w:pPr>
      <w:r w:rsidRPr="00BD03AE">
        <w:rPr>
          <w:b/>
        </w:rPr>
        <w:t xml:space="preserve">DESCRIZIONE OGGETTIVA </w:t>
      </w:r>
      <w:r w:rsidR="00042E52" w:rsidRPr="00BD03AE">
        <w:rPr>
          <w:b/>
        </w:rPr>
        <w:t xml:space="preserve">ovvero </w:t>
      </w:r>
      <w:r w:rsidR="00042E52" w:rsidRPr="00BD03AE">
        <w:rPr>
          <w:b/>
          <w:u w:val="single"/>
        </w:rPr>
        <w:t>ICONOGRAFICA</w:t>
      </w:r>
      <w:r w:rsidRPr="00BD03AE">
        <w:rPr>
          <w:b/>
        </w:rPr>
        <w:t>:</w:t>
      </w:r>
    </w:p>
    <w:p w:rsidR="00627D5F" w:rsidRDefault="0055247D" w:rsidP="007D0F04">
      <w:pPr>
        <w:ind w:left="720"/>
        <w:jc w:val="both"/>
      </w:pPr>
      <w:r w:rsidRPr="0055247D">
        <w:t xml:space="preserve">Il 3 maggio 1808 (conosciuto anche come </w:t>
      </w:r>
      <w:r w:rsidR="00790693">
        <w:t>“</w:t>
      </w:r>
      <w:proofErr w:type="spellStart"/>
      <w:r w:rsidRPr="00790693">
        <w:rPr>
          <w:i/>
        </w:rPr>
        <w:t>El</w:t>
      </w:r>
      <w:proofErr w:type="spellEnd"/>
      <w:r w:rsidRPr="00790693">
        <w:rPr>
          <w:i/>
        </w:rPr>
        <w:t xml:space="preserve"> </w:t>
      </w:r>
      <w:proofErr w:type="spellStart"/>
      <w:r w:rsidRPr="00790693">
        <w:rPr>
          <w:i/>
        </w:rPr>
        <w:t>tres</w:t>
      </w:r>
      <w:proofErr w:type="spellEnd"/>
      <w:r w:rsidRPr="00790693">
        <w:rPr>
          <w:i/>
        </w:rPr>
        <w:t xml:space="preserve"> de </w:t>
      </w:r>
      <w:proofErr w:type="spellStart"/>
      <w:r w:rsidRPr="00790693">
        <w:rPr>
          <w:i/>
        </w:rPr>
        <w:t>mayo</w:t>
      </w:r>
      <w:proofErr w:type="spellEnd"/>
      <w:r w:rsidRPr="00790693">
        <w:rPr>
          <w:i/>
        </w:rPr>
        <w:t xml:space="preserve"> de 1808 en Madrid</w:t>
      </w:r>
      <w:r w:rsidR="00790693">
        <w:rPr>
          <w:i/>
        </w:rPr>
        <w:t>”</w:t>
      </w:r>
      <w:r w:rsidRPr="0055247D">
        <w:t xml:space="preserve">, o </w:t>
      </w:r>
      <w:r w:rsidR="00790693">
        <w:t>“</w:t>
      </w:r>
      <w:r w:rsidRPr="00790693">
        <w:rPr>
          <w:i/>
        </w:rPr>
        <w:t xml:space="preserve">Los </w:t>
      </w:r>
      <w:proofErr w:type="spellStart"/>
      <w:r w:rsidRPr="00790693">
        <w:rPr>
          <w:i/>
        </w:rPr>
        <w:t>fucilamientos</w:t>
      </w:r>
      <w:proofErr w:type="spellEnd"/>
      <w:r w:rsidRPr="00790693">
        <w:rPr>
          <w:i/>
        </w:rPr>
        <w:t xml:space="preserve"> de la </w:t>
      </w:r>
      <w:proofErr w:type="spellStart"/>
      <w:r w:rsidRPr="00790693">
        <w:rPr>
          <w:i/>
        </w:rPr>
        <w:t>montaña</w:t>
      </w:r>
      <w:proofErr w:type="spellEnd"/>
      <w:r w:rsidRPr="00790693">
        <w:rPr>
          <w:i/>
        </w:rPr>
        <w:t xml:space="preserve"> del </w:t>
      </w:r>
      <w:proofErr w:type="spellStart"/>
      <w:r w:rsidRPr="00790693">
        <w:rPr>
          <w:i/>
        </w:rPr>
        <w:t>Príncipe</w:t>
      </w:r>
      <w:proofErr w:type="spellEnd"/>
      <w:r w:rsidRPr="00790693">
        <w:rPr>
          <w:i/>
        </w:rPr>
        <w:t xml:space="preserve"> </w:t>
      </w:r>
      <w:proofErr w:type="spellStart"/>
      <w:r w:rsidRPr="00790693">
        <w:rPr>
          <w:i/>
        </w:rPr>
        <w:t>Pío</w:t>
      </w:r>
      <w:proofErr w:type="spellEnd"/>
      <w:r w:rsidR="00790693">
        <w:t>”</w:t>
      </w:r>
      <w:r w:rsidRPr="0055247D">
        <w:t xml:space="preserve">, e </w:t>
      </w:r>
      <w:r w:rsidR="00790693">
        <w:t>“</w:t>
      </w:r>
      <w:r w:rsidRPr="00790693">
        <w:rPr>
          <w:i/>
        </w:rPr>
        <w:t xml:space="preserve">Los </w:t>
      </w:r>
      <w:proofErr w:type="spellStart"/>
      <w:r w:rsidRPr="00790693">
        <w:rPr>
          <w:i/>
        </w:rPr>
        <w:t>fucilamientos</w:t>
      </w:r>
      <w:proofErr w:type="spellEnd"/>
      <w:r w:rsidRPr="00790693">
        <w:rPr>
          <w:i/>
        </w:rPr>
        <w:t xml:space="preserve"> del </w:t>
      </w:r>
      <w:proofErr w:type="spellStart"/>
      <w:r w:rsidRPr="00790693">
        <w:rPr>
          <w:i/>
        </w:rPr>
        <w:t>tres</w:t>
      </w:r>
      <w:proofErr w:type="spellEnd"/>
      <w:r w:rsidRPr="00790693">
        <w:rPr>
          <w:i/>
        </w:rPr>
        <w:t xml:space="preserve"> de </w:t>
      </w:r>
      <w:proofErr w:type="spellStart"/>
      <w:r w:rsidRPr="00790693">
        <w:rPr>
          <w:i/>
        </w:rPr>
        <w:t>mayo</w:t>
      </w:r>
      <w:proofErr w:type="spellEnd"/>
      <w:r w:rsidR="00790693">
        <w:t>”</w:t>
      </w:r>
      <w:r w:rsidRPr="0055247D">
        <w:t>)</w:t>
      </w:r>
      <w:r>
        <w:t xml:space="preserve"> riprende la vicenda storica in cui le truppe napoleoniche entrarono a Madrid e catturarono </w:t>
      </w:r>
      <w:r w:rsidR="006B45ED">
        <w:t>i patrioti</w:t>
      </w:r>
      <w:r>
        <w:t xml:space="preserve"> spagnoli </w:t>
      </w:r>
      <w:r w:rsidR="006B45ED">
        <w:t xml:space="preserve">ribelli </w:t>
      </w:r>
      <w:r>
        <w:t>che verranno fucilati</w:t>
      </w:r>
      <w:r w:rsidR="006B45ED">
        <w:t xml:space="preserve"> durante la notte e il giorno seguente</w:t>
      </w:r>
      <w:r>
        <w:t>.</w:t>
      </w:r>
      <w:r w:rsidR="00854C70">
        <w:t xml:space="preserve"> </w:t>
      </w:r>
      <w:r w:rsidR="00CF7285">
        <w:t xml:space="preserve">La scena raffigura il momento della fucilazione. Le figure sono distinte in due gruppi: a destra la diagonale dei soldati del plotone d’esecuzione, con alti cappelli e una gamba spostata in avanti a prendere la mira, le schiene curve, i fucili puntati. Non hanno volto: più che uomini sembrano una “macchina da guerra”. </w:t>
      </w:r>
      <w:r w:rsidR="00323EA9">
        <w:t>Non sono altrettanto precisati</w:t>
      </w:r>
      <w:r w:rsidR="00705BC8">
        <w:t xml:space="preserve"> </w:t>
      </w:r>
      <w:r w:rsidR="00323EA9">
        <w:t>i volti degli uomini che stanno loro di fronte, a partire dall’uomo con le braccia spalancate in alto, come su una croce, che crede nelle idee libe</w:t>
      </w:r>
      <w:r w:rsidR="004B0408">
        <w:t>rali e sa di morire per la sua p</w:t>
      </w:r>
      <w:r w:rsidR="00323EA9">
        <w:t>atria, fino a giungere agli altri, un gruppo di poveri contadini rozzi e spaventati, alcuni dei quali già caduti, altri che si coprono il viso. Un frate, tra questi, giunge le mani in un gesto di implorazione e preghiera.</w:t>
      </w:r>
    </w:p>
    <w:p w:rsidR="00222150" w:rsidRPr="007D0F04" w:rsidRDefault="00222150" w:rsidP="007D0F04">
      <w:pPr>
        <w:ind w:left="720"/>
        <w:jc w:val="both"/>
      </w:pPr>
    </w:p>
    <w:p w:rsidR="00051CEF" w:rsidRDefault="00AA7A70" w:rsidP="00627D5F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 xml:space="preserve">INTERPRETAZIONE DEL </w:t>
      </w:r>
      <w:r w:rsidRPr="00AA7A70">
        <w:rPr>
          <w:b/>
          <w:u w:val="single"/>
        </w:rPr>
        <w:t>MESSAGGIO DELL’ARTISTA</w:t>
      </w:r>
      <w:r>
        <w:rPr>
          <w:b/>
        </w:rPr>
        <w:t xml:space="preserve"> ovvero DESCRIZIONE </w:t>
      </w:r>
      <w:r w:rsidRPr="00AA7A70">
        <w:rPr>
          <w:b/>
          <w:u w:val="single"/>
        </w:rPr>
        <w:t>ICO</w:t>
      </w:r>
      <w:r w:rsidR="003C1EFB">
        <w:rPr>
          <w:b/>
          <w:u w:val="single"/>
        </w:rPr>
        <w:t>NO</w:t>
      </w:r>
      <w:r w:rsidRPr="00AA7A70">
        <w:rPr>
          <w:b/>
          <w:u w:val="single"/>
        </w:rPr>
        <w:t>LOGICA</w:t>
      </w:r>
      <w:r>
        <w:rPr>
          <w:b/>
          <w:u w:val="single"/>
        </w:rPr>
        <w:t xml:space="preserve"> </w:t>
      </w:r>
      <w:r>
        <w:rPr>
          <w:b/>
        </w:rPr>
        <w:t>:</w:t>
      </w:r>
    </w:p>
    <w:p w:rsidR="0031619E" w:rsidRPr="008B6A4D" w:rsidRDefault="008B6A4D" w:rsidP="008B6A4D">
      <w:pPr>
        <w:ind w:left="720"/>
        <w:jc w:val="both"/>
      </w:pPr>
      <w:r w:rsidRPr="008B6A4D">
        <w:t xml:space="preserve">E’ uno dei quadri più drammatici mai realizzati. Lo si vede dal contrasto tra le vittime e i carnefici nell'atto di premere il grilletto dei fucili. Sebbene venga subito notata la </w:t>
      </w:r>
      <w:r w:rsidRPr="00705BC8">
        <w:rPr>
          <w:b/>
          <w:i/>
        </w:rPr>
        <w:t>figura bianca</w:t>
      </w:r>
      <w:r w:rsidRPr="008B6A4D">
        <w:t xml:space="preserve"> e </w:t>
      </w:r>
      <w:r w:rsidRPr="00705BC8">
        <w:rPr>
          <w:b/>
          <w:i/>
        </w:rPr>
        <w:t>la vittima ai suoi piedi</w:t>
      </w:r>
      <w:r w:rsidRPr="008B6A4D">
        <w:t xml:space="preserve"> (che fa da "</w:t>
      </w:r>
      <w:r w:rsidRPr="00705BC8">
        <w:rPr>
          <w:b/>
          <w:i/>
        </w:rPr>
        <w:t>negativo</w:t>
      </w:r>
      <w:r w:rsidRPr="008B6A4D">
        <w:t xml:space="preserve">" all'immagine del patriota a braccia alzate)  illuminata dalla luce bianca di una </w:t>
      </w:r>
      <w:r w:rsidRPr="00705BC8">
        <w:rPr>
          <w:b/>
          <w:i/>
        </w:rPr>
        <w:t>grande lanterna</w:t>
      </w:r>
      <w:r w:rsidRPr="008B6A4D">
        <w:t xml:space="preserve"> ai piedi dei soldati, subito dopo ci si rende conto che essa è solo una delle molte vittime ...</w:t>
      </w:r>
    </w:p>
    <w:p w:rsidR="00627D5F" w:rsidRDefault="0031619E" w:rsidP="0031619E">
      <w:pPr>
        <w:pStyle w:val="Paragrafoelenco"/>
        <w:jc w:val="both"/>
        <w:rPr>
          <w:b/>
        </w:rPr>
      </w:pPr>
      <w:r w:rsidRPr="0031619E">
        <w:t xml:space="preserve">Nell’anno in cui fu dipinto (1814), la visione di Goya dell’uomo era di </w:t>
      </w:r>
      <w:r w:rsidRPr="0031619E">
        <w:rPr>
          <w:b/>
          <w:i/>
        </w:rPr>
        <w:t>un'umanità disumanizzata</w:t>
      </w:r>
      <w:r w:rsidRPr="0031619E">
        <w:t xml:space="preserve">, e questo si riflette anche nell’ opera. Goya rappresenta la ribellione delle passioni popolari che vengono immortalate nei gesti di sofferenza dipinti dall'artista. </w:t>
      </w:r>
      <w:r w:rsidRPr="00705BC8">
        <w:rPr>
          <w:i/>
          <w:u w:val="single"/>
        </w:rPr>
        <w:t>Esprime un sentimento di amore per la libertà e per la patria</w:t>
      </w:r>
      <w:r w:rsidRPr="0031619E">
        <w:t>. Ma Goya va al di là di quello che è il significato dell’evento</w:t>
      </w:r>
      <w:r w:rsidR="00A936E9">
        <w:t xml:space="preserve"> fissato sulla tela</w:t>
      </w:r>
      <w:r w:rsidRPr="0031619E">
        <w:t xml:space="preserve">, e </w:t>
      </w:r>
      <w:r w:rsidRPr="008A095B">
        <w:rPr>
          <w:i/>
          <w:u w:val="single"/>
        </w:rPr>
        <w:t>il quadro diventa il simbolo cioè della rivolta dei popoli contro le oppressioni di altri popoli</w:t>
      </w:r>
      <w:r>
        <w:rPr>
          <w:b/>
        </w:rPr>
        <w:t>.</w:t>
      </w:r>
    </w:p>
    <w:p w:rsidR="00BE5235" w:rsidRDefault="00BE5235" w:rsidP="0031619E">
      <w:pPr>
        <w:pStyle w:val="Paragrafoelenco"/>
        <w:jc w:val="both"/>
        <w:rPr>
          <w:b/>
        </w:rPr>
      </w:pPr>
    </w:p>
    <w:p w:rsidR="00904594" w:rsidRPr="00904594" w:rsidRDefault="008A095B" w:rsidP="0031619E">
      <w:pPr>
        <w:pStyle w:val="Paragrafoelenco"/>
        <w:jc w:val="both"/>
      </w:pPr>
      <w:r>
        <w:t>Esso</w:t>
      </w:r>
      <w:r w:rsidR="00904594">
        <w:t xml:space="preserve"> potrebbe</w:t>
      </w:r>
      <w:r w:rsidR="00060DB5">
        <w:t xml:space="preserve"> allora</w:t>
      </w:r>
      <w:r w:rsidR="00904594">
        <w:t xml:space="preserve"> essere</w:t>
      </w:r>
      <w:r w:rsidR="00060DB5">
        <w:t xml:space="preserve"> interpretato come</w:t>
      </w:r>
      <w:r w:rsidR="00904594">
        <w:t xml:space="preserve"> l’esaltazione della lotta popolare contro gli invasori: ma quei poveri uomini terrorizzati, che si coprono gli occhi come per allontanare l’orrore che li attende, oppure imprecano o, </w:t>
      </w:r>
      <w:r w:rsidR="00060DB5">
        <w:t>ancora, supplicano chiedendo pie</w:t>
      </w:r>
      <w:r w:rsidR="00904594">
        <w:t xml:space="preserve">tà a mani giunte, </w:t>
      </w:r>
      <w:r w:rsidR="00904594" w:rsidRPr="00060DB5">
        <w:rPr>
          <w:b/>
          <w:i/>
        </w:rPr>
        <w:t>non sono eroi</w:t>
      </w:r>
      <w:r w:rsidR="00904594">
        <w:t>.</w:t>
      </w:r>
    </w:p>
    <w:p w:rsidR="00BE5235" w:rsidRDefault="00BE5235" w:rsidP="00904594">
      <w:pPr>
        <w:pStyle w:val="Paragrafoelenco"/>
        <w:jc w:val="both"/>
      </w:pPr>
      <w:r w:rsidRPr="00BE5235">
        <w:t xml:space="preserve">Il dipinto trova il suo autentico e profondo </w:t>
      </w:r>
      <w:r w:rsidR="00060DB5">
        <w:t xml:space="preserve">significato </w:t>
      </w:r>
      <w:r w:rsidRPr="00BE5235">
        <w:t xml:space="preserve">come </w:t>
      </w:r>
      <w:r w:rsidR="00060DB5">
        <w:t>visione di un “</w:t>
      </w:r>
      <w:r w:rsidRPr="00060DB5">
        <w:rPr>
          <w:b/>
          <w:i/>
        </w:rPr>
        <w:t>martirio laico</w:t>
      </w:r>
      <w:r w:rsidR="00060DB5">
        <w:t>”</w:t>
      </w:r>
      <w:r w:rsidRPr="00BE5235">
        <w:t xml:space="preserve">, un martirio </w:t>
      </w:r>
      <w:r w:rsidRPr="00060DB5">
        <w:rPr>
          <w:i/>
          <w:u w:val="single"/>
        </w:rPr>
        <w:t>senza il minimo raggio di speranza nella possibilità che gli evidenti mali di questo mondo siano riparati nell'altro</w:t>
      </w:r>
      <w:r w:rsidRPr="00BE5235">
        <w:t xml:space="preserve">. La sola fonte di luce è </w:t>
      </w:r>
      <w:r w:rsidRPr="00060DB5">
        <w:rPr>
          <w:b/>
          <w:i/>
        </w:rPr>
        <w:t>la gigantesca lanterna</w:t>
      </w:r>
      <w:r w:rsidRPr="00BE5235">
        <w:t xml:space="preserve"> ai piedi dei soldati, forse un simbolo della </w:t>
      </w:r>
      <w:r w:rsidRPr="00060DB5">
        <w:rPr>
          <w:b/>
          <w:i/>
        </w:rPr>
        <w:t>logica rigorosa dell'illuminismo</w:t>
      </w:r>
      <w:r w:rsidRPr="00BE5235">
        <w:t xml:space="preserve"> nella quale gli intellettuali spagnoli, Goya compreso, avevano posto le proprie speranze di salvezza. </w:t>
      </w:r>
      <w:r w:rsidRPr="00060DB5">
        <w:rPr>
          <w:i/>
          <w:u w:val="single"/>
        </w:rPr>
        <w:t>Tutto sembra essere fallito</w:t>
      </w:r>
      <w:r w:rsidRPr="00BE5235">
        <w:t>, l'illuminismo come la Chiesa, rappresentata dai campanili sullo sfondo e dal monaco tonsurato che figura tra i condannati.</w:t>
      </w:r>
      <w:r w:rsidR="00904594">
        <w:t xml:space="preserve"> Così </w:t>
      </w:r>
      <w:r w:rsidR="00904594" w:rsidRPr="00060DB5">
        <w:rPr>
          <w:i/>
          <w:u w:val="single"/>
        </w:rPr>
        <w:t>i soldati, lasciati nell’ ”</w:t>
      </w:r>
      <w:r w:rsidR="00060DB5" w:rsidRPr="00060DB5">
        <w:rPr>
          <w:i/>
          <w:u w:val="single"/>
        </w:rPr>
        <w:t>O</w:t>
      </w:r>
      <w:r w:rsidR="00904594" w:rsidRPr="00060DB5">
        <w:rPr>
          <w:i/>
          <w:u w:val="single"/>
        </w:rPr>
        <w:t>mbra” d</w:t>
      </w:r>
      <w:r w:rsidR="00060DB5" w:rsidRPr="00060DB5">
        <w:rPr>
          <w:i/>
          <w:u w:val="single"/>
        </w:rPr>
        <w:t>ella Storia e della R</w:t>
      </w:r>
      <w:r w:rsidR="00904594" w:rsidRPr="00060DB5">
        <w:rPr>
          <w:i/>
          <w:u w:val="single"/>
        </w:rPr>
        <w:t>agione</w:t>
      </w:r>
      <w:r w:rsidR="00904594">
        <w:t>, sono anch’essi vittime ma della guerra, evento mostruoso che nasce dall’odio tra uomini, dalle ragioni economiche, dalla sete di potere,</w:t>
      </w:r>
      <w:r w:rsidR="00060DB5">
        <w:t xml:space="preserve"> e</w:t>
      </w:r>
      <w:r w:rsidR="00904594">
        <w:t xml:space="preserve"> che porta con sé morte e distruzione.</w:t>
      </w:r>
    </w:p>
    <w:p w:rsidR="00222150" w:rsidRDefault="00222150" w:rsidP="00904594">
      <w:pPr>
        <w:pStyle w:val="Paragrafoelenco"/>
        <w:jc w:val="both"/>
      </w:pPr>
    </w:p>
    <w:p w:rsidR="00222150" w:rsidRDefault="00222150" w:rsidP="00904594">
      <w:pPr>
        <w:pStyle w:val="Paragrafoelenco"/>
        <w:jc w:val="both"/>
      </w:pPr>
    </w:p>
    <w:p w:rsidR="00222150" w:rsidRDefault="00222150" w:rsidP="00904594">
      <w:pPr>
        <w:pStyle w:val="Paragrafoelenco"/>
        <w:jc w:val="both"/>
      </w:pPr>
    </w:p>
    <w:p w:rsidR="00222150" w:rsidRDefault="00222150" w:rsidP="00904594">
      <w:pPr>
        <w:pStyle w:val="Paragrafoelenco"/>
        <w:jc w:val="both"/>
      </w:pPr>
    </w:p>
    <w:p w:rsidR="00FF246A" w:rsidRDefault="00FF246A" w:rsidP="00222150">
      <w:pPr>
        <w:pStyle w:val="Paragrafoelenco"/>
        <w:jc w:val="both"/>
      </w:pPr>
    </w:p>
    <w:p w:rsidR="00FF246A" w:rsidRDefault="00FF246A" w:rsidP="00FF246A">
      <w:pPr>
        <w:pStyle w:val="Paragrafoelenco"/>
        <w:jc w:val="both"/>
      </w:pP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247015</wp:posOffset>
            </wp:positionH>
            <wp:positionV relativeFrom="margin">
              <wp:posOffset>739775</wp:posOffset>
            </wp:positionV>
            <wp:extent cx="6095365" cy="4737100"/>
            <wp:effectExtent l="19050" t="0" r="635" b="0"/>
            <wp:wrapSquare wrapText="bothSides"/>
            <wp:docPr id="1" name="Immagine 1" descr="C:\Users\Giacomo\Desktop\arteinlab-lavori in corso\letture visive Bozze\PRIMO OTTOCENTO\7 bis Ora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acomo\Desktop\arteinlab-lavori in corso\letture visive Bozze\PRIMO OTTOCENTO\7 bis Oraz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5365" cy="473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2150">
        <w:t xml:space="preserve">In questo quadro si potrebbero anche vedere delle analogie a Il giuramento degli </w:t>
      </w:r>
      <w:proofErr w:type="spellStart"/>
      <w:r w:rsidR="00222150">
        <w:t>Orazi</w:t>
      </w:r>
      <w:proofErr w:type="spellEnd"/>
      <w:r w:rsidR="00222150">
        <w:t xml:space="preserve"> di </w:t>
      </w:r>
      <w:proofErr w:type="spellStart"/>
      <w:r w:rsidR="00222150">
        <w:t>Jacques-Louis</w:t>
      </w:r>
      <w:proofErr w:type="spellEnd"/>
      <w:r w:rsidR="00222150">
        <w:t xml:space="preserve"> David.</w:t>
      </w:r>
    </w:p>
    <w:p w:rsidR="00FF246A" w:rsidRDefault="00FF246A" w:rsidP="00222150">
      <w:pPr>
        <w:pStyle w:val="Paragrafoelenco"/>
        <w:jc w:val="both"/>
      </w:pPr>
    </w:p>
    <w:p w:rsidR="00222150" w:rsidRDefault="00222150" w:rsidP="00222150">
      <w:pPr>
        <w:pStyle w:val="Paragrafoelenco"/>
        <w:jc w:val="both"/>
      </w:pPr>
    </w:p>
    <w:p w:rsidR="00F32EE4" w:rsidRDefault="00F32EE4" w:rsidP="00222150">
      <w:pPr>
        <w:pStyle w:val="Paragrafoelenco"/>
        <w:jc w:val="both"/>
      </w:pPr>
    </w:p>
    <w:p w:rsidR="00F32EE4" w:rsidRDefault="00222150" w:rsidP="00222150">
      <w:pPr>
        <w:pStyle w:val="Paragrafoelenco"/>
        <w:jc w:val="both"/>
      </w:pPr>
      <w:r>
        <w:t xml:space="preserve">I soldati francesi di Goya echeggiano le posizioni degli </w:t>
      </w:r>
      <w:proofErr w:type="spellStart"/>
      <w:r>
        <w:t>Orazi</w:t>
      </w:r>
      <w:proofErr w:type="spellEnd"/>
      <w:r>
        <w:t xml:space="preserve">, ma stanno fucilando un gruppo di civili indifesi arrestati a Madrid dopo la rivolta del giorno prima contro l'esercito di occupazione. </w:t>
      </w:r>
    </w:p>
    <w:p w:rsidR="00222150" w:rsidRDefault="00222150" w:rsidP="00222150">
      <w:pPr>
        <w:pStyle w:val="Paragrafoelenco"/>
        <w:jc w:val="both"/>
      </w:pPr>
      <w:r>
        <w:t xml:space="preserve">In Goya, dunque, l'accento è posto sulle </w:t>
      </w:r>
      <w:r w:rsidRPr="00F32EE4">
        <w:rPr>
          <w:b/>
          <w:i/>
        </w:rPr>
        <w:t>vittime</w:t>
      </w:r>
      <w:r>
        <w:t>, e su di esse viene attirata la simpatia dello spettatore, specialmente sull'uomo in camicia bianca che si contrappone a braccia tese all'anonimo plotone di esecuzione.</w:t>
      </w:r>
    </w:p>
    <w:p w:rsidR="00F32EE4" w:rsidRDefault="00222150" w:rsidP="00222150">
      <w:pPr>
        <w:ind w:left="708"/>
        <w:jc w:val="both"/>
      </w:pPr>
      <w:r>
        <w:t>A dar significato a un mondo caotico restano soltanto l'artista e la s</w:t>
      </w:r>
      <w:r w:rsidR="00F32EE4">
        <w:t xml:space="preserve">ua visione </w:t>
      </w:r>
      <w:r>
        <w:t>e quella di Goya era già troppo amareggiata e violenta per concedere sollievo o distrazione dall'orrore del soggetto con la delicatezza delle pennellate o l'armonia dei colori di David, che già avevano “</w:t>
      </w:r>
      <w:r w:rsidRPr="00F32EE4">
        <w:rPr>
          <w:i/>
        </w:rPr>
        <w:t>neutralizzato</w:t>
      </w:r>
      <w:r>
        <w:t>” altri temi feroci nell'arte neoclassica</w:t>
      </w:r>
      <w:r w:rsidR="00F32EE4">
        <w:t xml:space="preserve"> (vedi il quadro “</w:t>
      </w:r>
      <w:r w:rsidR="00F32EE4" w:rsidRPr="00F32EE4">
        <w:rPr>
          <w:i/>
        </w:rPr>
        <w:t>La morte di Marat</w:t>
      </w:r>
      <w:r w:rsidR="00F32EE4">
        <w:t>”)</w:t>
      </w:r>
      <w:r>
        <w:t xml:space="preserve">. </w:t>
      </w:r>
    </w:p>
    <w:p w:rsidR="00222150" w:rsidRDefault="00222150" w:rsidP="00222150">
      <w:pPr>
        <w:ind w:left="708"/>
        <w:jc w:val="both"/>
      </w:pPr>
      <w:r>
        <w:t>In questo senso possiamo dire che Goya, rispetto a David, è già un romantico!</w:t>
      </w:r>
    </w:p>
    <w:p w:rsidR="00904594" w:rsidRDefault="00904594" w:rsidP="00904594">
      <w:pPr>
        <w:pStyle w:val="Paragrafoelenco"/>
        <w:jc w:val="both"/>
      </w:pPr>
    </w:p>
    <w:p w:rsidR="00F32EE4" w:rsidRDefault="00F32EE4" w:rsidP="00904594">
      <w:pPr>
        <w:pStyle w:val="Paragrafoelenco"/>
        <w:jc w:val="both"/>
      </w:pPr>
    </w:p>
    <w:p w:rsidR="00F32EE4" w:rsidRDefault="00F32EE4" w:rsidP="00904594">
      <w:pPr>
        <w:pStyle w:val="Paragrafoelenco"/>
        <w:jc w:val="both"/>
      </w:pPr>
    </w:p>
    <w:p w:rsidR="00F32EE4" w:rsidRDefault="00F32EE4" w:rsidP="00904594">
      <w:pPr>
        <w:pStyle w:val="Paragrafoelenco"/>
        <w:jc w:val="both"/>
      </w:pPr>
    </w:p>
    <w:p w:rsidR="00F32EE4" w:rsidRPr="00904594" w:rsidRDefault="00F32EE4" w:rsidP="00904594">
      <w:pPr>
        <w:pStyle w:val="Paragrafoelenco"/>
        <w:jc w:val="both"/>
      </w:pPr>
    </w:p>
    <w:p w:rsidR="00B43560" w:rsidRDefault="00EB5B27" w:rsidP="0016228B">
      <w:pPr>
        <w:pStyle w:val="Paragrafoelenco"/>
        <w:numPr>
          <w:ilvl w:val="0"/>
          <w:numId w:val="21"/>
        </w:numPr>
        <w:jc w:val="both"/>
        <w:rPr>
          <w:b/>
        </w:rPr>
      </w:pPr>
      <w:r>
        <w:rPr>
          <w:b/>
        </w:rPr>
        <w:t>ANALISI DEGLI ELEMENTI DEL CODICE DEL LINGUAGGIO VISIVO USATO DALL’ARTISTA:</w:t>
      </w:r>
    </w:p>
    <w:p w:rsidR="00854C70" w:rsidRDefault="0055247D" w:rsidP="007E768B">
      <w:pPr>
        <w:ind w:left="720"/>
        <w:jc w:val="both"/>
      </w:pPr>
      <w:r w:rsidRPr="00216D97">
        <w:rPr>
          <w:b/>
          <w:i/>
        </w:rPr>
        <w:t>Composizione</w:t>
      </w:r>
      <w:r>
        <w:t xml:space="preserve">: Capiamo che si tratta di Madrid per le architetture presenti in profondità. Sullo sfondo c’è un colle arido, che dà una certa drammaticità e una lanterna illumina tutta la scena che si svolge di notte. </w:t>
      </w:r>
      <w:r w:rsidR="007E768B">
        <w:t xml:space="preserve">Il terrore della scena è esaltato con </w:t>
      </w:r>
      <w:r w:rsidR="007E768B" w:rsidRPr="00F32EE4">
        <w:rPr>
          <w:b/>
          <w:i/>
        </w:rPr>
        <w:t>dita di colore</w:t>
      </w:r>
      <w:r w:rsidR="007E768B">
        <w:t xml:space="preserve"> e volti di uomini appena abbozzati. Gli occhi, le mani, i gesti, e le espressioni dei condannati denunciano la tragedia del momento, la mostruosità dello spettacolo, accentuato dalla macchia bianca della camicia di uno di loro e le braccia alzate. </w:t>
      </w:r>
    </w:p>
    <w:p w:rsidR="0055247D" w:rsidRDefault="0055247D" w:rsidP="007E768B">
      <w:pPr>
        <w:ind w:left="720"/>
        <w:jc w:val="both"/>
      </w:pPr>
      <w:r w:rsidRPr="00216D97">
        <w:rPr>
          <w:b/>
          <w:i/>
        </w:rPr>
        <w:t>Prospettiva</w:t>
      </w:r>
      <w:r>
        <w:t xml:space="preserve">: è presente la </w:t>
      </w:r>
      <w:r w:rsidRPr="00F32EE4">
        <w:rPr>
          <w:i/>
        </w:rPr>
        <w:t>prospettiva sfuggente</w:t>
      </w:r>
      <w:r w:rsidR="00F32EE4">
        <w:t>,</w:t>
      </w:r>
      <w:r>
        <w:t xml:space="preserve"> </w:t>
      </w:r>
      <w:r w:rsidRPr="00F32EE4">
        <w:rPr>
          <w:i/>
        </w:rPr>
        <w:t>obliqua</w:t>
      </w:r>
      <w:r w:rsidR="00F32EE4">
        <w:t>,</w:t>
      </w:r>
      <w:r>
        <w:t xml:space="preserve"> </w:t>
      </w:r>
      <w:r w:rsidRPr="00F32EE4">
        <w:rPr>
          <w:i/>
        </w:rPr>
        <w:t>accidentale</w:t>
      </w:r>
      <w:r>
        <w:t xml:space="preserve"> e il punto di fuga è situato sulla destra, in un punto fuori dalla scena, (congiungendo le linee degli edifici sullo sfondo e quella delle teste).</w:t>
      </w:r>
      <w:r w:rsidR="00854C70">
        <w:t xml:space="preserve"> Infatti, la scena è costruita seguendo </w:t>
      </w:r>
      <w:r w:rsidR="00854C70" w:rsidRPr="007A6755">
        <w:rPr>
          <w:i/>
        </w:rPr>
        <w:t>due linee oblique</w:t>
      </w:r>
      <w:r w:rsidR="00854C70">
        <w:t>, che dai lati esterni della tela, scendono e s’incontrano verso il centro. La prima obliqua è disegnata dal fianco della collina, la seconda dalle teste dei soldati del plotone d’esecuzione. Il punto d’incrocio è sottolineato dalle canne dei fucili, orizzontali e parallele. Al di sotto di queste</w:t>
      </w:r>
      <w:r w:rsidR="007E768B">
        <w:t xml:space="preserve"> si inseriscono, da un lato il ritmo verticale dei soldati, dall’altro i gruppi meno omogenei dei condannati e dei morti che fanno ala all’uomo inginocchiato.</w:t>
      </w:r>
    </w:p>
    <w:p w:rsidR="007E768B" w:rsidRDefault="007E768B" w:rsidP="007E768B">
      <w:pPr>
        <w:ind w:left="720"/>
        <w:jc w:val="both"/>
      </w:pPr>
      <w:r>
        <w:t xml:space="preserve">La sola fonte di </w:t>
      </w:r>
      <w:r w:rsidRPr="00216D97">
        <w:rPr>
          <w:b/>
          <w:i/>
        </w:rPr>
        <w:t>luce</w:t>
      </w:r>
      <w:r>
        <w:t xml:space="preserve"> è la gigantesca lanterna ai piedi dei soldati, eppure il punto più luminoso del quadro è la camicia dell’uomo che sta per essere fucilato. L’intensa luce che illumina la scena, sembra provenire da questo centro accecante, ma la luminosità filtra in tutti i punti della tela, si riverbera sugli zaini dei soldati e disegna ai loro piedi un quadrilatero ch</w:t>
      </w:r>
      <w:r w:rsidR="00583629">
        <w:t>i</w:t>
      </w:r>
      <w:r>
        <w:t>aro che innalza come su una pedana il luogo del massacro.</w:t>
      </w:r>
    </w:p>
    <w:p w:rsidR="0055247D" w:rsidRDefault="004745C1" w:rsidP="004745C1">
      <w:pPr>
        <w:ind w:left="720"/>
        <w:jc w:val="both"/>
      </w:pPr>
      <w:r>
        <w:t xml:space="preserve">Il </w:t>
      </w:r>
      <w:r w:rsidRPr="004745C1">
        <w:rPr>
          <w:b/>
          <w:i/>
        </w:rPr>
        <w:t>colore</w:t>
      </w:r>
      <w:r>
        <w:t>: nel cielo nero si delineano, come se fossero ritagliati, i profili di una chiesa, un campanile ed alcune case di Madrid. Nella parte del quadro che ha per fulcro la fucilazione i colori sono caldi: rosso, giallo, marrone, terra d’ambra, verde mescolato all’o</w:t>
      </w:r>
      <w:r w:rsidR="007A6755">
        <w:t>c</w:t>
      </w:r>
      <w:r>
        <w:t xml:space="preserve">ra nelle divise dei soldati. </w:t>
      </w:r>
      <w:r w:rsidR="0055247D">
        <w:t xml:space="preserve">Il </w:t>
      </w:r>
      <w:r>
        <w:t xml:space="preserve">colore del </w:t>
      </w:r>
      <w:r w:rsidR="0055247D">
        <w:t>sangue d</w:t>
      </w:r>
      <w:r>
        <w:t>ei cadaveri ammassati a terra trasmette</w:t>
      </w:r>
      <w:r w:rsidR="0055247D">
        <w:t xml:space="preserve"> una nota di macabro</w:t>
      </w:r>
      <w:r>
        <w:t xml:space="preserve"> e si fonde con essi e con i </w:t>
      </w:r>
      <w:r w:rsidRPr="00216D97">
        <w:rPr>
          <w:b/>
          <w:i/>
        </w:rPr>
        <w:t>colori terrosi</w:t>
      </w:r>
      <w:r>
        <w:t xml:space="preserve"> sul terreno giallastro accendendo di bagliori rossastri la parete della montagnola alle spalle delle vittime</w:t>
      </w:r>
      <w:r w:rsidR="0055247D">
        <w:t xml:space="preserve">. </w:t>
      </w:r>
    </w:p>
    <w:p w:rsidR="006871B4" w:rsidRPr="006871B4" w:rsidRDefault="006871B4" w:rsidP="006871B4">
      <w:pPr>
        <w:ind w:left="2124"/>
        <w:jc w:val="both"/>
        <w:rPr>
          <w:i/>
        </w:rPr>
      </w:pPr>
    </w:p>
    <w:p w:rsidR="00DC1D4F" w:rsidRPr="00A66805" w:rsidRDefault="00EB5B27" w:rsidP="00A66805">
      <w:pPr>
        <w:jc w:val="both"/>
        <w:rPr>
          <w:i/>
          <w:color w:val="FF0000"/>
        </w:rPr>
      </w:pPr>
      <w:r>
        <w:rPr>
          <w:b/>
        </w:rPr>
        <w:t xml:space="preserve">                       </w:t>
      </w:r>
    </w:p>
    <w:p w:rsidR="00DC1D4F" w:rsidRPr="00DC1D4F" w:rsidRDefault="00DC1D4F" w:rsidP="00DC1D4F">
      <w:pPr>
        <w:ind w:left="720"/>
        <w:jc w:val="both"/>
        <w:rPr>
          <w:i/>
          <w:color w:val="FF0000"/>
        </w:rPr>
      </w:pPr>
      <w:r>
        <w:rPr>
          <w:i/>
          <w:color w:val="FF0000"/>
        </w:rPr>
        <w:t xml:space="preserve"> </w:t>
      </w:r>
    </w:p>
    <w:p w:rsidR="003D6135" w:rsidRDefault="003D6135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Default="00861A2B" w:rsidP="00AA7A70">
      <w:pPr>
        <w:jc w:val="both"/>
        <w:rPr>
          <w:i/>
          <w:color w:val="FF0000"/>
        </w:rPr>
      </w:pPr>
    </w:p>
    <w:p w:rsidR="00861A2B" w:rsidRPr="00861A2B" w:rsidRDefault="00861A2B" w:rsidP="00AA7A70">
      <w:pPr>
        <w:jc w:val="both"/>
        <w:rPr>
          <w:i/>
          <w:color w:val="FF0000"/>
        </w:rPr>
      </w:pPr>
    </w:p>
    <w:p w:rsidR="008D716A" w:rsidRPr="008D716A" w:rsidRDefault="008D716A" w:rsidP="00785F50">
      <w:pPr>
        <w:pStyle w:val="Paragrafoelenco"/>
        <w:ind w:left="1416"/>
        <w:jc w:val="both"/>
        <w:rPr>
          <w:i/>
          <w:color w:val="FF0000"/>
        </w:rPr>
      </w:pPr>
    </w:p>
    <w:sectPr w:rsidR="008D716A" w:rsidRPr="008D716A" w:rsidSect="00A30AA8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60B" w:rsidRDefault="006F060B" w:rsidP="004C4712">
      <w:pPr>
        <w:spacing w:after="0" w:line="240" w:lineRule="auto"/>
      </w:pPr>
      <w:r>
        <w:separator/>
      </w:r>
    </w:p>
  </w:endnote>
  <w:endnote w:type="continuationSeparator" w:id="0">
    <w:p w:rsidR="006F060B" w:rsidRDefault="006F060B" w:rsidP="004C4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32" w:rsidRDefault="00A54788">
    <w:pPr>
      <w:pStyle w:val="Pidipagina"/>
    </w:pPr>
    <w:r>
      <w:rPr>
        <w:noProof/>
        <w:lang w:eastAsia="zh-TW"/>
      </w:rPr>
      <w:pict>
        <v:group id="_x0000_s2054" style="position:absolute;margin-left:0;margin-top:0;width:580.05pt;height:27.35pt;z-index:251662336;mso-position-horizontal:center;mso-position-horizontal-relative:page;mso-position-vertical:top;mso-position-vertical-relative:line" coordorigin="321,14850" coordsize="11601,547">
          <v:rect id="_x0000_s2055" style="position:absolute;left:374;top:14903;width:9346;height:432;mso-position-horizontal-relative:page;mso-position-vertical:center;mso-position-vertical-relative:bottom-margin-area" o:allowincell="f" fillcolor="#e36c0a [2409]" stroked="f" strokecolor="#943634 [2405]">
            <v:fill color2="#943634 [2405]"/>
            <v:textbox style="mso-next-textbox:#_x0000_s2055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Indirizzo"/>
                    <w:id w:val="79885540"/>
                    <w:placeholder>
                      <w:docPart w:val="4FC35F65B89849EBB4DAE64D0F0CF880"/>
                    </w:placeholder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5F7332" w:rsidRDefault="005F7332" w:rsidP="005F7332">
                      <w:pPr>
                        <w:pStyle w:val="Pidipagina"/>
                        <w:jc w:val="center"/>
                        <w:rPr>
                          <w:color w:val="FFFFFF" w:themeColor="background1"/>
                          <w:spacing w:val="60"/>
                        </w:rPr>
                      </w:pPr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Lezioni di Storia dell’Arte – prof.ssa Annamaria </w:t>
                      </w:r>
                      <w:proofErr w:type="spellStart"/>
                      <w:r w:rsidRPr="005F7332">
                        <w:rPr>
                          <w:color w:val="FFFFFF" w:themeColor="background1"/>
                          <w:spacing w:val="60"/>
                        </w:rPr>
                        <w:t>Donadio</w:t>
                      </w:r>
                      <w:proofErr w:type="spellEnd"/>
                      <w:r w:rsidRPr="005F7332">
                        <w:rPr>
                          <w:color w:val="FFFFFF" w:themeColor="background1"/>
                          <w:spacing w:val="60"/>
                        </w:rPr>
                        <w:t xml:space="preserve"> </w:t>
                      </w:r>
                    </w:p>
                  </w:sdtContent>
                </w:sdt>
                <w:p w:rsidR="005F7332" w:rsidRDefault="005F7332">
                  <w:pPr>
                    <w:pStyle w:val="Intestazione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6" style="position:absolute;left:9763;top:14903;width:2102;height:432;mso-position-horizontal-relative:page;mso-position-vertical:center;mso-position-vertical-relative:bottom-margin-area" o:allowincell="f" fillcolor="#9bbb59 [3206]" strokecolor="#f2f2f2 [3041]" strokeweight="3pt">
            <v:shadow on="t" type="perspective" color="#4e6128 [1606]" opacity=".5" offset="1pt" offset2="-1pt"/>
            <v:textbox style="mso-next-textbox:#_x0000_s2056">
              <w:txbxContent>
                <w:p w:rsidR="005F7332" w:rsidRDefault="005F7332">
                  <w:pPr>
                    <w:pStyle w:val="Pidipa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Pagina </w:t>
                  </w:r>
                  <w:fldSimple w:instr=" PAGE   \* MERGEFORMAT ">
                    <w:r w:rsidR="007A6755" w:rsidRPr="007A6755">
                      <w:rPr>
                        <w:noProof/>
                        <w:color w:val="FFFFFF" w:themeColor="background1"/>
                      </w:rPr>
                      <w:t>4</w:t>
                    </w:r>
                  </w:fldSimple>
                </w:p>
              </w:txbxContent>
            </v:textbox>
          </v:rect>
          <v:rect id="_x0000_s2057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 strokecolor="black [3213]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60B" w:rsidRDefault="006F060B" w:rsidP="004C4712">
      <w:pPr>
        <w:spacing w:after="0" w:line="240" w:lineRule="auto"/>
      </w:pPr>
      <w:r>
        <w:separator/>
      </w:r>
    </w:p>
  </w:footnote>
  <w:footnote w:type="continuationSeparator" w:id="0">
    <w:p w:rsidR="006F060B" w:rsidRDefault="006F060B" w:rsidP="004C4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712" w:rsidRDefault="00A54788">
    <w:pPr>
      <w:pStyle w:val="Intestazione"/>
    </w:pPr>
    <w:r>
      <w:rPr>
        <w:noProof/>
        <w:lang w:eastAsia="zh-TW"/>
      </w:rPr>
      <w:pict>
        <v:group id="_x0000_s2049" style="position:absolute;margin-left:0;margin-top:0;width:580.4pt;height:41.75pt;z-index:251660288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2050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2050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Titolo"/>
                    <w:id w:val="538682326"/>
                    <w:placeholder>
                      <w:docPart w:val="78C6470BFD5549DB87D46C04286D9E1E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4C4712" w:rsidRDefault="00330B14">
                      <w:pPr>
                        <w:pStyle w:val="Intestazione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30B14">
                        <w:rPr>
                          <w:color w:val="FFFFFF" w:themeColor="background1"/>
                          <w:sz w:val="28"/>
                          <w:szCs w:val="28"/>
                        </w:rPr>
                        <w:t>Lettura visiv</w:t>
                      </w:r>
                      <w:r w:rsidR="000A1465">
                        <w:rPr>
                          <w:color w:val="FFFFFF" w:themeColor="background1"/>
                          <w:sz w:val="28"/>
                          <w:szCs w:val="28"/>
                        </w:rPr>
                        <w:t>a (arti figurative) : F. Goya – “Le fucilazioni del 3 maggio 1808”</w:t>
                      </w:r>
                    </w:p>
                  </w:sdtContent>
                </w:sdt>
              </w:txbxContent>
            </v:textbox>
          </v:rect>
          <v:rect id="_x0000_s2051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2051">
              <w:txbxContent>
                <w:p w:rsidR="004C4712" w:rsidRDefault="00A54788">
                  <w:pPr>
                    <w:pStyle w:val="Intestazione"/>
                    <w:rPr>
                      <w:color w:val="FFFFFF" w:themeColor="background1"/>
                      <w:sz w:val="36"/>
                      <w:szCs w:val="36"/>
                    </w:rPr>
                  </w:pPr>
                  <w:sdt>
                    <w:sdtPr>
                      <w:rPr>
                        <w:color w:val="FFFFFF" w:themeColor="background1"/>
                        <w:sz w:val="32"/>
                        <w:szCs w:val="36"/>
                      </w:rPr>
                      <w:alias w:val="Anno"/>
                      <w:id w:val="78709920"/>
                      <w:placeholder>
                        <w:docPart w:val="409F117262E54CFFA403ED90B7E0F698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it-IT"/>
                        <w:storeMappedDataAs w:val="dateTime"/>
                        <w:calendar w:val="gregorian"/>
                      </w:date>
                    </w:sdtPr>
                    <w:sdtContent>
                      <w:proofErr w:type="spellStart"/>
                      <w:r w:rsidR="007732DF">
                        <w:rPr>
                          <w:color w:val="FFFFFF" w:themeColor="background1"/>
                          <w:sz w:val="32"/>
                          <w:szCs w:val="36"/>
                        </w:rPr>
                        <w:t>a</w:t>
                      </w:r>
                      <w:r w:rsidR="007732DF" w:rsidRPr="007732DF">
                        <w:rPr>
                          <w:color w:val="FFFFFF" w:themeColor="background1"/>
                          <w:sz w:val="32"/>
                          <w:szCs w:val="36"/>
                        </w:rPr>
                        <w:t>.s</w:t>
                      </w:r>
                    </w:sdtContent>
                  </w:sdt>
                  <w:r w:rsidR="007732DF">
                    <w:rPr>
                      <w:color w:val="FFFFFF" w:themeColor="background1"/>
                      <w:sz w:val="32"/>
                      <w:szCs w:val="36"/>
                    </w:rPr>
                    <w:t>.</w:t>
                  </w:r>
                  <w:proofErr w:type="spellEnd"/>
                  <w:r w:rsidR="000A1465">
                    <w:rPr>
                      <w:color w:val="FFFFFF" w:themeColor="background1"/>
                      <w:sz w:val="32"/>
                      <w:szCs w:val="36"/>
                    </w:rPr>
                    <w:t xml:space="preserve"> 2013/14</w:t>
                  </w:r>
                </w:p>
              </w:txbxContent>
            </v:textbox>
          </v:rect>
          <v:rect id="_x0000_s2052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D2984"/>
    <w:multiLevelType w:val="hybridMultilevel"/>
    <w:tmpl w:val="BC9A1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848AD"/>
    <w:multiLevelType w:val="hybridMultilevel"/>
    <w:tmpl w:val="AD1A67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D365E"/>
    <w:multiLevelType w:val="hybridMultilevel"/>
    <w:tmpl w:val="00F29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F61EA"/>
    <w:multiLevelType w:val="hybridMultilevel"/>
    <w:tmpl w:val="1E783962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6091E6F"/>
    <w:multiLevelType w:val="hybridMultilevel"/>
    <w:tmpl w:val="9626B56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34FBD"/>
    <w:multiLevelType w:val="hybridMultilevel"/>
    <w:tmpl w:val="8BA4B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87AD6"/>
    <w:multiLevelType w:val="hybridMultilevel"/>
    <w:tmpl w:val="5AFCD7D2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>
    <w:nsid w:val="1D3A650F"/>
    <w:multiLevelType w:val="hybridMultilevel"/>
    <w:tmpl w:val="58260CE4"/>
    <w:lvl w:ilvl="0" w:tplc="0410000D">
      <w:start w:val="1"/>
      <w:numFmt w:val="bullet"/>
      <w:lvlText w:val=""/>
      <w:lvlJc w:val="left"/>
      <w:pPr>
        <w:ind w:left="160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</w:abstractNum>
  <w:abstractNum w:abstractNumId="8">
    <w:nsid w:val="1DA32A99"/>
    <w:multiLevelType w:val="hybridMultilevel"/>
    <w:tmpl w:val="ED52E99E"/>
    <w:lvl w:ilvl="0" w:tplc="0410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9">
    <w:nsid w:val="20B03786"/>
    <w:multiLevelType w:val="hybridMultilevel"/>
    <w:tmpl w:val="54EEC690"/>
    <w:lvl w:ilvl="0" w:tplc="0410000D">
      <w:start w:val="1"/>
      <w:numFmt w:val="bullet"/>
      <w:lvlText w:val=""/>
      <w:lvlJc w:val="left"/>
      <w:pPr>
        <w:ind w:left="149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abstractNum w:abstractNumId="10">
    <w:nsid w:val="283E1870"/>
    <w:multiLevelType w:val="hybridMultilevel"/>
    <w:tmpl w:val="49DE1AC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83F3E6A"/>
    <w:multiLevelType w:val="hybridMultilevel"/>
    <w:tmpl w:val="720E11B6"/>
    <w:lvl w:ilvl="0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0DE5FC8"/>
    <w:multiLevelType w:val="hybridMultilevel"/>
    <w:tmpl w:val="869C6FA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13C169A"/>
    <w:multiLevelType w:val="hybridMultilevel"/>
    <w:tmpl w:val="8DE63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02E1C"/>
    <w:multiLevelType w:val="hybridMultilevel"/>
    <w:tmpl w:val="535C665E"/>
    <w:lvl w:ilvl="0" w:tplc="0410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5">
    <w:nsid w:val="323678AE"/>
    <w:multiLevelType w:val="hybridMultilevel"/>
    <w:tmpl w:val="0CCEA9A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617399"/>
    <w:multiLevelType w:val="hybridMultilevel"/>
    <w:tmpl w:val="F3FA3E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AF15EA"/>
    <w:multiLevelType w:val="hybridMultilevel"/>
    <w:tmpl w:val="E0D4B1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42C09"/>
    <w:multiLevelType w:val="hybridMultilevel"/>
    <w:tmpl w:val="32DED492"/>
    <w:lvl w:ilvl="0" w:tplc="0410000D">
      <w:start w:val="1"/>
      <w:numFmt w:val="bullet"/>
      <w:lvlText w:val=""/>
      <w:lvlJc w:val="left"/>
      <w:pPr>
        <w:ind w:left="177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2" w:hanging="360"/>
      </w:pPr>
      <w:rPr>
        <w:rFonts w:ascii="Wingdings" w:hAnsi="Wingdings" w:hint="default"/>
      </w:rPr>
    </w:lvl>
  </w:abstractNum>
  <w:abstractNum w:abstractNumId="19">
    <w:nsid w:val="3F1C4926"/>
    <w:multiLevelType w:val="hybridMultilevel"/>
    <w:tmpl w:val="F2625E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C0E3D"/>
    <w:multiLevelType w:val="hybridMultilevel"/>
    <w:tmpl w:val="EA94EAE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5F44B68"/>
    <w:multiLevelType w:val="hybridMultilevel"/>
    <w:tmpl w:val="960CF3EA"/>
    <w:lvl w:ilvl="0" w:tplc="1BC81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810DF"/>
    <w:multiLevelType w:val="hybridMultilevel"/>
    <w:tmpl w:val="6294321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8C12EE9"/>
    <w:multiLevelType w:val="hybridMultilevel"/>
    <w:tmpl w:val="CDDAD3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D43A46"/>
    <w:multiLevelType w:val="hybridMultilevel"/>
    <w:tmpl w:val="7E5289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5E5FBC"/>
    <w:multiLevelType w:val="hybridMultilevel"/>
    <w:tmpl w:val="1466F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D70DE1"/>
    <w:multiLevelType w:val="hybridMultilevel"/>
    <w:tmpl w:val="375898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7D0261"/>
    <w:multiLevelType w:val="hybridMultilevel"/>
    <w:tmpl w:val="FFBA4B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2A6697"/>
    <w:multiLevelType w:val="hybridMultilevel"/>
    <w:tmpl w:val="11C6345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4101CE"/>
    <w:multiLevelType w:val="hybridMultilevel"/>
    <w:tmpl w:val="BDC26DD6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68606B02"/>
    <w:multiLevelType w:val="hybridMultilevel"/>
    <w:tmpl w:val="0F08E1E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CC77AF"/>
    <w:multiLevelType w:val="hybridMultilevel"/>
    <w:tmpl w:val="3140F52A"/>
    <w:lvl w:ilvl="0" w:tplc="9CB2E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D6510"/>
    <w:multiLevelType w:val="hybridMultilevel"/>
    <w:tmpl w:val="AA0632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1922E9"/>
    <w:multiLevelType w:val="hybridMultilevel"/>
    <w:tmpl w:val="0464E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EA4C51"/>
    <w:multiLevelType w:val="hybridMultilevel"/>
    <w:tmpl w:val="5B4CC45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A67A63"/>
    <w:multiLevelType w:val="hybridMultilevel"/>
    <w:tmpl w:val="E6480D2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1F91AB2"/>
    <w:multiLevelType w:val="hybridMultilevel"/>
    <w:tmpl w:val="20E42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57445B"/>
    <w:multiLevelType w:val="hybridMultilevel"/>
    <w:tmpl w:val="1CFA187E"/>
    <w:lvl w:ilvl="0" w:tplc="0410000D">
      <w:start w:val="1"/>
      <w:numFmt w:val="bullet"/>
      <w:lvlText w:val=""/>
      <w:lvlJc w:val="left"/>
      <w:pPr>
        <w:ind w:left="10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8">
    <w:nsid w:val="73B234EA"/>
    <w:multiLevelType w:val="hybridMultilevel"/>
    <w:tmpl w:val="9488AE3C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CB1A2A"/>
    <w:multiLevelType w:val="hybridMultilevel"/>
    <w:tmpl w:val="977A99F4"/>
    <w:lvl w:ilvl="0" w:tplc="0410000D">
      <w:start w:val="1"/>
      <w:numFmt w:val="bullet"/>
      <w:lvlText w:val=""/>
      <w:lvlJc w:val="left"/>
      <w:pPr>
        <w:ind w:left="14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40">
    <w:nsid w:val="78220F62"/>
    <w:multiLevelType w:val="hybridMultilevel"/>
    <w:tmpl w:val="21365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3E031B"/>
    <w:multiLevelType w:val="hybridMultilevel"/>
    <w:tmpl w:val="34B6A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10722E"/>
    <w:multiLevelType w:val="hybridMultilevel"/>
    <w:tmpl w:val="38F8F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F58D8"/>
    <w:multiLevelType w:val="hybridMultilevel"/>
    <w:tmpl w:val="B59465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D52E2"/>
    <w:multiLevelType w:val="hybridMultilevel"/>
    <w:tmpl w:val="38104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D9F23A0"/>
    <w:multiLevelType w:val="hybridMultilevel"/>
    <w:tmpl w:val="7C6A617A"/>
    <w:lvl w:ilvl="0" w:tplc="D81ADA2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4"/>
  </w:num>
  <w:num w:numId="3">
    <w:abstractNumId w:val="0"/>
  </w:num>
  <w:num w:numId="4">
    <w:abstractNumId w:val="29"/>
  </w:num>
  <w:num w:numId="5">
    <w:abstractNumId w:val="8"/>
  </w:num>
  <w:num w:numId="6">
    <w:abstractNumId w:val="36"/>
  </w:num>
  <w:num w:numId="7">
    <w:abstractNumId w:val="17"/>
  </w:num>
  <w:num w:numId="8">
    <w:abstractNumId w:val="21"/>
  </w:num>
  <w:num w:numId="9">
    <w:abstractNumId w:val="20"/>
  </w:num>
  <w:num w:numId="10">
    <w:abstractNumId w:val="31"/>
  </w:num>
  <w:num w:numId="11">
    <w:abstractNumId w:val="9"/>
  </w:num>
  <w:num w:numId="12">
    <w:abstractNumId w:val="15"/>
  </w:num>
  <w:num w:numId="13">
    <w:abstractNumId w:val="43"/>
  </w:num>
  <w:num w:numId="14">
    <w:abstractNumId w:val="22"/>
  </w:num>
  <w:num w:numId="15">
    <w:abstractNumId w:val="14"/>
  </w:num>
  <w:num w:numId="16">
    <w:abstractNumId w:val="2"/>
  </w:num>
  <w:num w:numId="17">
    <w:abstractNumId w:val="26"/>
  </w:num>
  <w:num w:numId="18">
    <w:abstractNumId w:val="35"/>
  </w:num>
  <w:num w:numId="19">
    <w:abstractNumId w:val="10"/>
  </w:num>
  <w:num w:numId="20">
    <w:abstractNumId w:val="42"/>
  </w:num>
  <w:num w:numId="21">
    <w:abstractNumId w:val="38"/>
  </w:num>
  <w:num w:numId="22">
    <w:abstractNumId w:val="12"/>
  </w:num>
  <w:num w:numId="23">
    <w:abstractNumId w:val="11"/>
  </w:num>
  <w:num w:numId="24">
    <w:abstractNumId w:val="4"/>
  </w:num>
  <w:num w:numId="25">
    <w:abstractNumId w:val="3"/>
  </w:num>
  <w:num w:numId="26">
    <w:abstractNumId w:val="18"/>
  </w:num>
  <w:num w:numId="27">
    <w:abstractNumId w:val="37"/>
  </w:num>
  <w:num w:numId="28">
    <w:abstractNumId w:val="16"/>
  </w:num>
  <w:num w:numId="29">
    <w:abstractNumId w:val="7"/>
  </w:num>
  <w:num w:numId="30">
    <w:abstractNumId w:val="6"/>
  </w:num>
  <w:num w:numId="31">
    <w:abstractNumId w:val="28"/>
  </w:num>
  <w:num w:numId="32">
    <w:abstractNumId w:val="39"/>
  </w:num>
  <w:num w:numId="33">
    <w:abstractNumId w:val="25"/>
  </w:num>
  <w:num w:numId="34">
    <w:abstractNumId w:val="30"/>
  </w:num>
  <w:num w:numId="35">
    <w:abstractNumId w:val="5"/>
  </w:num>
  <w:num w:numId="36">
    <w:abstractNumId w:val="45"/>
  </w:num>
  <w:num w:numId="37">
    <w:abstractNumId w:val="44"/>
  </w:num>
  <w:num w:numId="38">
    <w:abstractNumId w:val="41"/>
  </w:num>
  <w:num w:numId="39">
    <w:abstractNumId w:val="1"/>
  </w:num>
  <w:num w:numId="40">
    <w:abstractNumId w:val="19"/>
  </w:num>
  <w:num w:numId="41">
    <w:abstractNumId w:val="33"/>
  </w:num>
  <w:num w:numId="42">
    <w:abstractNumId w:val="27"/>
  </w:num>
  <w:num w:numId="43">
    <w:abstractNumId w:val="32"/>
  </w:num>
  <w:num w:numId="44">
    <w:abstractNumId w:val="23"/>
  </w:num>
  <w:num w:numId="45">
    <w:abstractNumId w:val="13"/>
  </w:num>
  <w:num w:numId="46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6"/>
  <w:proofState w:spelling="clean"/>
  <w:documentProtection w:edit="readOnly" w:enforcement="1" w:cryptProviderType="rsaFull" w:cryptAlgorithmClass="hash" w:cryptAlgorithmType="typeAny" w:cryptAlgorithmSid="4" w:cryptSpinCount="100000" w:hash="HnCCR2IF7DgzoonLqmY/7fD3ALg=" w:salt="zKRW57upMtIzd8k2kGlnHw=="/>
  <w:defaultTabStop w:val="708"/>
  <w:hyphenationZone w:val="283"/>
  <w:characterSpacingControl w:val="doNotCompress"/>
  <w:hdrShapeDefaults>
    <o:shapedefaults v:ext="edit" spidmax="18434">
      <o:colormenu v:ext="edit" fillcolor="none [2409]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C4712"/>
    <w:rsid w:val="00042E52"/>
    <w:rsid w:val="00051CEF"/>
    <w:rsid w:val="00060DB5"/>
    <w:rsid w:val="00070459"/>
    <w:rsid w:val="000A1465"/>
    <w:rsid w:val="000A637C"/>
    <w:rsid w:val="000C1972"/>
    <w:rsid w:val="00101FE8"/>
    <w:rsid w:val="0013067C"/>
    <w:rsid w:val="0016228B"/>
    <w:rsid w:val="00171B53"/>
    <w:rsid w:val="001C32C3"/>
    <w:rsid w:val="001E40E0"/>
    <w:rsid w:val="00203929"/>
    <w:rsid w:val="002065E7"/>
    <w:rsid w:val="00216D97"/>
    <w:rsid w:val="00222150"/>
    <w:rsid w:val="00252EF0"/>
    <w:rsid w:val="00271D37"/>
    <w:rsid w:val="0029057E"/>
    <w:rsid w:val="002C3C2A"/>
    <w:rsid w:val="00311A0D"/>
    <w:rsid w:val="00311E98"/>
    <w:rsid w:val="0031619E"/>
    <w:rsid w:val="00323EA9"/>
    <w:rsid w:val="00330B14"/>
    <w:rsid w:val="00390B35"/>
    <w:rsid w:val="00396E4B"/>
    <w:rsid w:val="003A47FD"/>
    <w:rsid w:val="003B4D63"/>
    <w:rsid w:val="003C1EFB"/>
    <w:rsid w:val="003D1B37"/>
    <w:rsid w:val="003D5FCA"/>
    <w:rsid w:val="003D6135"/>
    <w:rsid w:val="003E68F8"/>
    <w:rsid w:val="004636FA"/>
    <w:rsid w:val="004745C1"/>
    <w:rsid w:val="00485240"/>
    <w:rsid w:val="004B0408"/>
    <w:rsid w:val="004C4712"/>
    <w:rsid w:val="004D71C9"/>
    <w:rsid w:val="00543828"/>
    <w:rsid w:val="0054655D"/>
    <w:rsid w:val="00551606"/>
    <w:rsid w:val="0055247D"/>
    <w:rsid w:val="0055361D"/>
    <w:rsid w:val="00560638"/>
    <w:rsid w:val="00572D2A"/>
    <w:rsid w:val="00583629"/>
    <w:rsid w:val="005872B2"/>
    <w:rsid w:val="00597CE6"/>
    <w:rsid w:val="005F7332"/>
    <w:rsid w:val="00606FB6"/>
    <w:rsid w:val="00627D5F"/>
    <w:rsid w:val="006400FE"/>
    <w:rsid w:val="00645170"/>
    <w:rsid w:val="00664C39"/>
    <w:rsid w:val="0067191A"/>
    <w:rsid w:val="006871B4"/>
    <w:rsid w:val="006A5578"/>
    <w:rsid w:val="006A560C"/>
    <w:rsid w:val="006B45ED"/>
    <w:rsid w:val="006C53A2"/>
    <w:rsid w:val="006E1C96"/>
    <w:rsid w:val="006F060B"/>
    <w:rsid w:val="006F3E64"/>
    <w:rsid w:val="006F470A"/>
    <w:rsid w:val="00705BC8"/>
    <w:rsid w:val="00717EE1"/>
    <w:rsid w:val="00733669"/>
    <w:rsid w:val="00734384"/>
    <w:rsid w:val="00736E5C"/>
    <w:rsid w:val="0077265B"/>
    <w:rsid w:val="007732DF"/>
    <w:rsid w:val="00785F50"/>
    <w:rsid w:val="00790693"/>
    <w:rsid w:val="007A11AA"/>
    <w:rsid w:val="007A6755"/>
    <w:rsid w:val="007A7BFD"/>
    <w:rsid w:val="007B45D2"/>
    <w:rsid w:val="007D0F04"/>
    <w:rsid w:val="007D3D22"/>
    <w:rsid w:val="007E768B"/>
    <w:rsid w:val="007F6047"/>
    <w:rsid w:val="00816003"/>
    <w:rsid w:val="008339A9"/>
    <w:rsid w:val="00836FA0"/>
    <w:rsid w:val="008466E8"/>
    <w:rsid w:val="00854C70"/>
    <w:rsid w:val="00861A2B"/>
    <w:rsid w:val="008941EE"/>
    <w:rsid w:val="008A095B"/>
    <w:rsid w:val="008A1DC4"/>
    <w:rsid w:val="008A4441"/>
    <w:rsid w:val="008B01A3"/>
    <w:rsid w:val="008B57F1"/>
    <w:rsid w:val="008B6A4D"/>
    <w:rsid w:val="008D716A"/>
    <w:rsid w:val="00904594"/>
    <w:rsid w:val="00912B10"/>
    <w:rsid w:val="00917232"/>
    <w:rsid w:val="00956073"/>
    <w:rsid w:val="00982AB1"/>
    <w:rsid w:val="00994F03"/>
    <w:rsid w:val="009A2156"/>
    <w:rsid w:val="009F6023"/>
    <w:rsid w:val="00A30AA8"/>
    <w:rsid w:val="00A364E7"/>
    <w:rsid w:val="00A51B4B"/>
    <w:rsid w:val="00A54788"/>
    <w:rsid w:val="00A56129"/>
    <w:rsid w:val="00A66805"/>
    <w:rsid w:val="00A936E9"/>
    <w:rsid w:val="00AA7A70"/>
    <w:rsid w:val="00AB1BA0"/>
    <w:rsid w:val="00AD0B3A"/>
    <w:rsid w:val="00AD223D"/>
    <w:rsid w:val="00B17927"/>
    <w:rsid w:val="00B308DE"/>
    <w:rsid w:val="00B43560"/>
    <w:rsid w:val="00B75585"/>
    <w:rsid w:val="00B80E5F"/>
    <w:rsid w:val="00BD03AE"/>
    <w:rsid w:val="00BD5130"/>
    <w:rsid w:val="00BD74AE"/>
    <w:rsid w:val="00BE5235"/>
    <w:rsid w:val="00BE5F04"/>
    <w:rsid w:val="00C12464"/>
    <w:rsid w:val="00C63868"/>
    <w:rsid w:val="00C814FD"/>
    <w:rsid w:val="00C92AD7"/>
    <w:rsid w:val="00CB7230"/>
    <w:rsid w:val="00CF7285"/>
    <w:rsid w:val="00D03E1D"/>
    <w:rsid w:val="00D25BB1"/>
    <w:rsid w:val="00D93635"/>
    <w:rsid w:val="00D9509A"/>
    <w:rsid w:val="00DC1D4F"/>
    <w:rsid w:val="00DD10B8"/>
    <w:rsid w:val="00DD4167"/>
    <w:rsid w:val="00DE365D"/>
    <w:rsid w:val="00DE543B"/>
    <w:rsid w:val="00DF2840"/>
    <w:rsid w:val="00E07EC9"/>
    <w:rsid w:val="00E73452"/>
    <w:rsid w:val="00E8778B"/>
    <w:rsid w:val="00EB5B27"/>
    <w:rsid w:val="00EB7E6C"/>
    <w:rsid w:val="00F24BC8"/>
    <w:rsid w:val="00F32EE4"/>
    <w:rsid w:val="00F5426E"/>
    <w:rsid w:val="00F7055D"/>
    <w:rsid w:val="00F832DF"/>
    <w:rsid w:val="00FA59B5"/>
    <w:rsid w:val="00FE1A52"/>
    <w:rsid w:val="00FF05B2"/>
    <w:rsid w:val="00FF246A"/>
    <w:rsid w:val="00FF7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2409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0A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71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C471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4712"/>
  </w:style>
  <w:style w:type="paragraph" w:styleId="Pidipagina">
    <w:name w:val="footer"/>
    <w:basedOn w:val="Normale"/>
    <w:link w:val="PidipaginaCarattere"/>
    <w:uiPriority w:val="99"/>
    <w:unhideWhenUsed/>
    <w:rsid w:val="004C47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47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8C6470BFD5549DB87D46C04286D9E1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D02DC8-1F35-4053-8008-DD4F3DD0A0EA}"/>
      </w:docPartPr>
      <w:docPartBody>
        <w:p w:rsidR="00852176" w:rsidRDefault="004E7D2A" w:rsidP="004E7D2A">
          <w:pPr>
            <w:pStyle w:val="78C6470BFD5549DB87D46C04286D9E1E"/>
          </w:pPr>
          <w:r>
            <w:rPr>
              <w:color w:val="FFFFFF" w:themeColor="background1"/>
              <w:sz w:val="28"/>
              <w:szCs w:val="28"/>
            </w:rPr>
            <w:t>[Digitare il titolo del documento]</w:t>
          </w:r>
        </w:p>
      </w:docPartBody>
    </w:docPart>
    <w:docPart>
      <w:docPartPr>
        <w:name w:val="409F117262E54CFFA403ED90B7E0F6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8ED62A-FEDC-487B-9D4E-D12025A710DD}"/>
      </w:docPartPr>
      <w:docPartBody>
        <w:p w:rsidR="00852176" w:rsidRDefault="004E7D2A" w:rsidP="004E7D2A">
          <w:pPr>
            <w:pStyle w:val="409F117262E54CFFA403ED90B7E0F698"/>
          </w:pPr>
          <w:r>
            <w:rPr>
              <w:color w:val="FFFFFF" w:themeColor="background1"/>
              <w:sz w:val="36"/>
              <w:szCs w:val="36"/>
            </w:rPr>
            <w:t>[Anno]</w:t>
          </w:r>
        </w:p>
      </w:docPartBody>
    </w:docPart>
    <w:docPart>
      <w:docPartPr>
        <w:name w:val="4FC35F65B89849EBB4DAE64D0F0CF88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30065C0-584B-4696-A627-EC460B379EEC}"/>
      </w:docPartPr>
      <w:docPartBody>
        <w:p w:rsidR="008F1592" w:rsidRDefault="006E1930" w:rsidP="006E1930">
          <w:pPr>
            <w:pStyle w:val="4FC35F65B89849EBB4DAE64D0F0CF880"/>
          </w:pPr>
          <w:r>
            <w:rPr>
              <w:color w:val="FFFFFF" w:themeColor="background1"/>
              <w:spacing w:val="60"/>
            </w:rPr>
            <w:t>[Digitare l'indirizzo della società]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4E7D2A"/>
    <w:rsid w:val="003F33AD"/>
    <w:rsid w:val="004E7D2A"/>
    <w:rsid w:val="005417E3"/>
    <w:rsid w:val="00693DAA"/>
    <w:rsid w:val="006E1930"/>
    <w:rsid w:val="0070016C"/>
    <w:rsid w:val="00852176"/>
    <w:rsid w:val="008F1592"/>
    <w:rsid w:val="009859DD"/>
    <w:rsid w:val="009A39A8"/>
    <w:rsid w:val="00B2540E"/>
    <w:rsid w:val="00B7667B"/>
    <w:rsid w:val="00C02788"/>
    <w:rsid w:val="00C5207A"/>
    <w:rsid w:val="00C64ED2"/>
    <w:rsid w:val="00D2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5217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B6D41607B1E49C9974FCD19C0D6FD87">
    <w:name w:val="1B6D41607B1E49C9974FCD19C0D6FD87"/>
    <w:rsid w:val="004E7D2A"/>
  </w:style>
  <w:style w:type="paragraph" w:customStyle="1" w:styleId="78C6470BFD5549DB87D46C04286D9E1E">
    <w:name w:val="78C6470BFD5549DB87D46C04286D9E1E"/>
    <w:rsid w:val="004E7D2A"/>
  </w:style>
  <w:style w:type="paragraph" w:customStyle="1" w:styleId="409F117262E54CFFA403ED90B7E0F698">
    <w:name w:val="409F117262E54CFFA403ED90B7E0F698"/>
    <w:rsid w:val="004E7D2A"/>
  </w:style>
  <w:style w:type="paragraph" w:customStyle="1" w:styleId="B26044DB78B646FC9CF427A55F6766CF">
    <w:name w:val="B26044DB78B646FC9CF427A55F6766CF"/>
    <w:rsid w:val="006E1930"/>
  </w:style>
  <w:style w:type="paragraph" w:customStyle="1" w:styleId="4FC35F65B89849EBB4DAE64D0F0CF880">
    <w:name w:val="4FC35F65B89849EBB4DAE64D0F0CF880"/>
    <w:rsid w:val="006E193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a.s</PublishDate>
  <Abstract/>
  <CompanyAddress>Lezioni di Storia dell’Arte – prof.ssa Annamaria Donadio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D87400-DD33-4945-A168-8B0253200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1027</Words>
  <Characters>5859</Characters>
  <Application>Microsoft Office Word</Application>
  <DocSecurity>8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Lettura visiva (arti figurative) : F. Goya – “Le fucilazioni del 3 maggio 1808”</vt:lpstr>
    </vt:vector>
  </TitlesOfParts>
  <Company>Lezioni di Storia dell’Arte - Prof.ssa Annamaria Donadio</Company>
  <LinksUpToDate>false</LinksUpToDate>
  <CharactersWithSpaces>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Lettura visiva (arti figurative) : F. Goya – “Le fucilazioni del 3 maggio 1808”</dc:title>
  <dc:creator>Giacomo</dc:creator>
  <cp:lastModifiedBy>Giacomo</cp:lastModifiedBy>
  <cp:revision>61</cp:revision>
  <dcterms:created xsi:type="dcterms:W3CDTF">2013-11-05T15:07:00Z</dcterms:created>
  <dcterms:modified xsi:type="dcterms:W3CDTF">2014-06-22T06:59:00Z</dcterms:modified>
</cp:coreProperties>
</file>