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BF" w:rsidRPr="00B5311F" w:rsidRDefault="001F7CBF" w:rsidP="00B5311F">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250825</wp:posOffset>
            </wp:positionV>
            <wp:extent cx="6873240" cy="4492625"/>
            <wp:effectExtent l="19050" t="0" r="3810" b="0"/>
            <wp:wrapSquare wrapText="bothSides"/>
            <wp:docPr id="1" name="Immagine 1" descr="C:\Users\Giacomo\Desktop\Umberto_boccioni_la_città_che_s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Umberto_boccioni_la_città_che_sale.jpg"/>
                    <pic:cNvPicPr>
                      <a:picLocks noChangeAspect="1" noChangeArrowheads="1"/>
                    </pic:cNvPicPr>
                  </pic:nvPicPr>
                  <pic:blipFill>
                    <a:blip r:embed="rId9" cstate="print"/>
                    <a:srcRect/>
                    <a:stretch>
                      <a:fillRect/>
                    </a:stretch>
                  </pic:blipFill>
                  <pic:spPr bwMode="auto">
                    <a:xfrm>
                      <a:off x="0" y="0"/>
                      <a:ext cx="6873240" cy="4492625"/>
                    </a:xfrm>
                    <a:prstGeom prst="rect">
                      <a:avLst/>
                    </a:prstGeom>
                    <a:noFill/>
                    <a:ln w="9525">
                      <a:noFill/>
                      <a:miter lim="800000"/>
                      <a:headEnd/>
                      <a:tailEnd/>
                    </a:ln>
                  </pic:spPr>
                </pic:pic>
              </a:graphicData>
            </a:graphic>
          </wp:anchor>
        </w:drawing>
      </w: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366D69">
        <w:t>“La città che sale”</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377FA5">
        <w:t>Umberto Boccioni</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377FA5">
        <w:t>1910</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377FA5">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377FA5">
        <w:t>199,3 x 301</w:t>
      </w:r>
    </w:p>
    <w:p w:rsidR="00B5311F" w:rsidRPr="00B5311F" w:rsidRDefault="00816003" w:rsidP="00B5311F">
      <w:pPr>
        <w:pStyle w:val="Paragrafoelenco"/>
        <w:numPr>
          <w:ilvl w:val="0"/>
          <w:numId w:val="10"/>
        </w:numPr>
        <w:jc w:val="both"/>
        <w:rPr>
          <w:b/>
          <w:lang w:val="en-US"/>
        </w:rPr>
      </w:pPr>
      <w:proofErr w:type="spellStart"/>
      <w:r w:rsidRPr="00377FA5">
        <w:rPr>
          <w:b/>
          <w:lang w:val="en-US"/>
        </w:rPr>
        <w:t>Collocazione</w:t>
      </w:r>
      <w:proofErr w:type="spellEnd"/>
      <w:r w:rsidRPr="00377FA5">
        <w:rPr>
          <w:b/>
          <w:lang w:val="en-US"/>
        </w:rPr>
        <w:t xml:space="preserve"> </w:t>
      </w:r>
      <w:proofErr w:type="spellStart"/>
      <w:r w:rsidRPr="00377FA5">
        <w:rPr>
          <w:b/>
          <w:lang w:val="en-US"/>
        </w:rPr>
        <w:t>attuale</w:t>
      </w:r>
      <w:proofErr w:type="spellEnd"/>
      <w:r w:rsidRPr="00377FA5">
        <w:rPr>
          <w:b/>
          <w:lang w:val="en-US"/>
        </w:rPr>
        <w:t xml:space="preserve">: </w:t>
      </w:r>
      <w:r w:rsidR="00377FA5" w:rsidRPr="00377FA5">
        <w:rPr>
          <w:lang w:val="en-US"/>
        </w:rPr>
        <w:t>New York, Museum of Modern Art ( M.O.M.A)</w:t>
      </w:r>
    </w:p>
    <w:p w:rsidR="00B5311F" w:rsidRDefault="00B5311F" w:rsidP="00B5311F">
      <w:pPr>
        <w:pStyle w:val="Paragrafoelenco"/>
        <w:jc w:val="both"/>
        <w:rPr>
          <w:b/>
          <w:lang w:val="en-US"/>
        </w:rPr>
      </w:pPr>
    </w:p>
    <w:p w:rsidR="00B5311F" w:rsidRPr="00B5311F" w:rsidRDefault="00B5311F" w:rsidP="00B5311F">
      <w:pPr>
        <w:pStyle w:val="Paragrafoelenco"/>
        <w:jc w:val="both"/>
        <w:rPr>
          <w:b/>
          <w:lang w:val="en-US"/>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627D5F" w:rsidRDefault="000F41F8" w:rsidP="00296AA0">
      <w:pPr>
        <w:ind w:left="720"/>
        <w:jc w:val="both"/>
        <w:rPr>
          <w:rFonts w:cs="Arial"/>
          <w:shd w:val="clear" w:color="auto" w:fill="FFFFFF"/>
        </w:rPr>
      </w:pPr>
      <w:r>
        <w:t>La grande tela è dedicata al lavoro e al progresso sociale</w:t>
      </w:r>
      <w:r w:rsidRPr="00664143">
        <w:t xml:space="preserve">. </w:t>
      </w:r>
      <w:r w:rsidR="00664143" w:rsidRPr="00664143">
        <w:rPr>
          <w:rFonts w:cs="Arial"/>
          <w:shd w:val="clear" w:color="auto" w:fill="FFFFFF"/>
        </w:rPr>
        <w:t>Si coglie la visione di palazzi in costruzione in una periferia urbana, mentre compaiono ciminiere e impalcature solo nella parte superiore</w:t>
      </w:r>
      <w:r w:rsidR="00664143">
        <w:rPr>
          <w:rFonts w:cs="Arial"/>
          <w:shd w:val="clear" w:color="auto" w:fill="FFFFFF"/>
        </w:rPr>
        <w:t>, sullo sfondo</w:t>
      </w:r>
      <w:r w:rsidR="00664143" w:rsidRPr="00664143">
        <w:rPr>
          <w:rFonts w:cs="Arial"/>
          <w:shd w:val="clear" w:color="auto" w:fill="FFFFFF"/>
        </w:rPr>
        <w:t>. Gran parte dello spazio è invece occupato da uomini e da cavalli, fusi esasperatamente insieme in uno sforzo dinamico.</w:t>
      </w:r>
      <w:r w:rsidR="00664143">
        <w:rPr>
          <w:rFonts w:cs="Arial"/>
          <w:shd w:val="clear" w:color="auto" w:fill="FFFFFF"/>
        </w:rPr>
        <w:t xml:space="preserve"> Anzi, nella parte bassa della tela, quelli che sembrano operai o, meglio, carrettieri, vengono violentemente travolti dalla furia dei cavalli in corsa guidati da fantini che sembra indossino una tuta blu.</w:t>
      </w:r>
    </w:p>
    <w:p w:rsidR="00B5311F" w:rsidRDefault="00B5311F" w:rsidP="00296AA0">
      <w:pPr>
        <w:ind w:left="720"/>
        <w:jc w:val="both"/>
        <w:rPr>
          <w:rFonts w:cs="Arial"/>
          <w:shd w:val="clear" w:color="auto" w:fill="FFFFFF"/>
        </w:rPr>
      </w:pPr>
    </w:p>
    <w:p w:rsidR="00B5311F" w:rsidRPr="00296AA0" w:rsidRDefault="00B5311F" w:rsidP="00296AA0">
      <w:pPr>
        <w:ind w:left="720"/>
        <w:jc w:val="both"/>
      </w:pP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765BDE" w:rsidRDefault="00296AA0" w:rsidP="00765BDE">
      <w:pPr>
        <w:ind w:left="720"/>
        <w:jc w:val="both"/>
        <w:rPr>
          <w:rFonts w:cs="Arial"/>
          <w:shd w:val="clear" w:color="auto" w:fill="FFFFFF"/>
        </w:rPr>
      </w:pPr>
      <w:r>
        <w:t>Si ritiene che</w:t>
      </w:r>
      <w:r w:rsidR="00664143">
        <w:t xml:space="preserve"> Boccioni si ispirò ai giganteschi lavori di trasformazione della periferia di Roma, in occasione della grande esposizione che si sarebbe tenuta nel 1911, per il cinquantenario dell’Unità d’Italia.</w:t>
      </w:r>
      <w:r>
        <w:t xml:space="preserve"> Più probabilmente, invece, la genesi dell’ </w:t>
      </w:r>
      <w:r w:rsidRPr="00660B28">
        <w:rPr>
          <w:rFonts w:cs="Arial"/>
          <w:shd w:val="clear" w:color="auto" w:fill="FFFFFF"/>
        </w:rPr>
        <w:t xml:space="preserve">opera prende spunto dalla vista di </w:t>
      </w:r>
      <w:r w:rsidRPr="00CB0F41">
        <w:rPr>
          <w:rFonts w:cs="Arial"/>
          <w:b/>
          <w:i/>
          <w:shd w:val="clear" w:color="auto" w:fill="FFFFFF"/>
        </w:rPr>
        <w:t>Milano</w:t>
      </w:r>
      <w:r w:rsidR="00660B28" w:rsidRPr="00660B28">
        <w:rPr>
          <w:rFonts w:cs="Arial"/>
          <w:shd w:val="clear" w:color="auto" w:fill="FFFFFF"/>
        </w:rPr>
        <w:t xml:space="preserve"> e della sua </w:t>
      </w:r>
      <w:r w:rsidR="00660B28" w:rsidRPr="00CB0F41">
        <w:rPr>
          <w:rFonts w:cs="Arial"/>
          <w:b/>
          <w:i/>
          <w:shd w:val="clear" w:color="auto" w:fill="FFFFFF"/>
        </w:rPr>
        <w:t>centrale elettrica</w:t>
      </w:r>
      <w:r w:rsidR="00660B28" w:rsidRPr="00660B28">
        <w:rPr>
          <w:rFonts w:cs="Arial"/>
          <w:shd w:val="clear" w:color="auto" w:fill="FFFFFF"/>
        </w:rPr>
        <w:t xml:space="preserve"> in costruzione,</w:t>
      </w:r>
      <w:r w:rsidRPr="00660B28">
        <w:rPr>
          <w:rFonts w:cs="Arial"/>
          <w:shd w:val="clear" w:color="auto" w:fill="FFFFFF"/>
        </w:rPr>
        <w:t xml:space="preserve"> che si vedeva dal balcone della casa dove abitava. Il titolo originale era</w:t>
      </w:r>
      <w:r w:rsidRPr="00660B28">
        <w:rPr>
          <w:rStyle w:val="apple-converted-space"/>
          <w:rFonts w:cs="Arial"/>
          <w:shd w:val="clear" w:color="auto" w:fill="FFFFFF"/>
        </w:rPr>
        <w:t> “</w:t>
      </w:r>
      <w:r w:rsidRPr="00CB0F41">
        <w:rPr>
          <w:rFonts w:cs="Arial"/>
          <w:b/>
          <w:i/>
          <w:iCs/>
          <w:shd w:val="clear" w:color="auto" w:fill="FFFFFF"/>
        </w:rPr>
        <w:t>Il lavoro</w:t>
      </w:r>
      <w:r w:rsidRPr="00660B28">
        <w:rPr>
          <w:rFonts w:cs="Arial"/>
          <w:i/>
          <w:iCs/>
          <w:shd w:val="clear" w:color="auto" w:fill="FFFFFF"/>
        </w:rPr>
        <w:t>”</w:t>
      </w:r>
      <w:r w:rsidRPr="00660B28">
        <w:rPr>
          <w:rStyle w:val="apple-converted-space"/>
          <w:rFonts w:cs="Arial"/>
          <w:shd w:val="clear" w:color="auto" w:fill="FFFFFF"/>
        </w:rPr>
        <w:t> </w:t>
      </w:r>
      <w:r w:rsidRPr="00660B28">
        <w:rPr>
          <w:rFonts w:cs="Arial"/>
          <w:shd w:val="clear" w:color="auto" w:fill="FFFFFF"/>
        </w:rPr>
        <w:t>così come apparve alla “</w:t>
      </w:r>
      <w:r w:rsidRPr="00CB0F41">
        <w:rPr>
          <w:rFonts w:cs="Arial"/>
          <w:b/>
          <w:i/>
          <w:iCs/>
          <w:shd w:val="clear" w:color="auto" w:fill="FFFFFF"/>
        </w:rPr>
        <w:t>Mostra d'arte libera di Milano</w:t>
      </w:r>
      <w:r w:rsidRPr="00660B28">
        <w:rPr>
          <w:rFonts w:cs="Arial"/>
          <w:i/>
          <w:iCs/>
          <w:shd w:val="clear" w:color="auto" w:fill="FFFFFF"/>
        </w:rPr>
        <w:t>”</w:t>
      </w:r>
      <w:r w:rsidRPr="00660B28">
        <w:rPr>
          <w:rStyle w:val="apple-converted-space"/>
          <w:rFonts w:cs="Arial"/>
          <w:shd w:val="clear" w:color="auto" w:fill="FFFFFF"/>
        </w:rPr>
        <w:t> </w:t>
      </w:r>
      <w:r w:rsidRPr="00660B28">
        <w:rPr>
          <w:rFonts w:cs="Arial"/>
          <w:shd w:val="clear" w:color="auto" w:fill="FFFFFF"/>
        </w:rPr>
        <w:t>del</w:t>
      </w:r>
      <w:r w:rsidRPr="00660B28">
        <w:rPr>
          <w:rStyle w:val="apple-converted-space"/>
          <w:rFonts w:cs="Arial"/>
          <w:shd w:val="clear" w:color="auto" w:fill="FFFFFF"/>
        </w:rPr>
        <w:t> </w:t>
      </w:r>
      <w:r w:rsidRPr="00660B28">
        <w:rPr>
          <w:rFonts w:cs="Arial"/>
          <w:shd w:val="clear" w:color="auto" w:fill="FFFFFF"/>
        </w:rPr>
        <w:t xml:space="preserve">1911. Nonostante la presenza degli elementi realistici come il </w:t>
      </w:r>
      <w:r w:rsidRPr="00CB0F41">
        <w:rPr>
          <w:rFonts w:cs="Arial"/>
          <w:b/>
          <w:i/>
          <w:shd w:val="clear" w:color="auto" w:fill="FFFFFF"/>
        </w:rPr>
        <w:t>cantiere</w:t>
      </w:r>
      <w:r w:rsidRPr="00660B28">
        <w:rPr>
          <w:rFonts w:cs="Arial"/>
          <w:shd w:val="clear" w:color="auto" w:fill="FFFFFF"/>
        </w:rPr>
        <w:t xml:space="preserve"> o la </w:t>
      </w:r>
      <w:r w:rsidRPr="00CB0F41">
        <w:rPr>
          <w:rFonts w:cs="Arial"/>
          <w:b/>
          <w:i/>
          <w:shd w:val="clear" w:color="auto" w:fill="FFFFFF"/>
        </w:rPr>
        <w:t>costruzione</w:t>
      </w:r>
      <w:r w:rsidRPr="00660B28">
        <w:rPr>
          <w:rFonts w:cs="Arial"/>
          <w:shd w:val="clear" w:color="auto" w:fill="FFFFFF"/>
        </w:rPr>
        <w:t xml:space="preserve">, o ancora la resa dello spazio in maniera prospettica, il dipinto viene considerato la </w:t>
      </w:r>
      <w:r w:rsidRPr="00CB0F41">
        <w:rPr>
          <w:rFonts w:cs="Arial"/>
          <w:i/>
          <w:shd w:val="clear" w:color="auto" w:fill="FFFFFF"/>
        </w:rPr>
        <w:t>prima opera veramente</w:t>
      </w:r>
      <w:r w:rsidRPr="00CB0F41">
        <w:rPr>
          <w:rStyle w:val="apple-converted-space"/>
          <w:rFonts w:cs="Arial"/>
          <w:i/>
          <w:shd w:val="clear" w:color="auto" w:fill="FFFFFF"/>
        </w:rPr>
        <w:t> </w:t>
      </w:r>
      <w:r w:rsidRPr="00CB0F41">
        <w:rPr>
          <w:rFonts w:cs="Arial"/>
          <w:i/>
          <w:shd w:val="clear" w:color="auto" w:fill="FFFFFF"/>
        </w:rPr>
        <w:t>futurista</w:t>
      </w:r>
      <w:r w:rsidRPr="00CB0F41">
        <w:rPr>
          <w:rStyle w:val="apple-converted-space"/>
          <w:rFonts w:cs="Arial"/>
          <w:i/>
          <w:shd w:val="clear" w:color="auto" w:fill="FFFFFF"/>
        </w:rPr>
        <w:t> </w:t>
      </w:r>
      <w:r w:rsidRPr="00CB0F41">
        <w:rPr>
          <w:rFonts w:cs="Arial"/>
          <w:i/>
          <w:shd w:val="clear" w:color="auto" w:fill="FFFFFF"/>
        </w:rPr>
        <w:t>del pittore</w:t>
      </w:r>
      <w:r w:rsidRPr="00660B28">
        <w:rPr>
          <w:rFonts w:cs="Arial"/>
          <w:shd w:val="clear" w:color="auto" w:fill="FFFFFF"/>
        </w:rPr>
        <w:t>. In tal modo</w:t>
      </w:r>
      <w:r w:rsidRPr="00660B28">
        <w:rPr>
          <w:rStyle w:val="apple-converted-space"/>
          <w:rFonts w:cs="Arial"/>
          <w:shd w:val="clear" w:color="auto" w:fill="FFFFFF"/>
        </w:rPr>
        <w:t> </w:t>
      </w:r>
      <w:r w:rsidRPr="00660B28">
        <w:rPr>
          <w:rFonts w:cs="Arial"/>
          <w:shd w:val="clear" w:color="auto" w:fill="FFFFFF"/>
        </w:rPr>
        <w:t>Boccioni</w:t>
      </w:r>
      <w:r w:rsidRPr="00660B28">
        <w:rPr>
          <w:rStyle w:val="apple-converted-space"/>
          <w:rFonts w:cs="Arial"/>
          <w:shd w:val="clear" w:color="auto" w:fill="FFFFFF"/>
        </w:rPr>
        <w:t> </w:t>
      </w:r>
      <w:r w:rsidRPr="00660B28">
        <w:rPr>
          <w:rFonts w:cs="Arial"/>
          <w:shd w:val="clear" w:color="auto" w:fill="FFFFFF"/>
        </w:rPr>
        <w:t>mette in risalto alcuni tra gli elementi più tipici del</w:t>
      </w:r>
      <w:r w:rsidRPr="00660B28">
        <w:rPr>
          <w:rStyle w:val="apple-converted-space"/>
          <w:rFonts w:cs="Arial"/>
          <w:shd w:val="clear" w:color="auto" w:fill="FFFFFF"/>
        </w:rPr>
        <w:t> </w:t>
      </w:r>
      <w:r w:rsidRPr="00660B28">
        <w:rPr>
          <w:rFonts w:cs="Arial"/>
          <w:shd w:val="clear" w:color="auto" w:fill="FFFFFF"/>
        </w:rPr>
        <w:t xml:space="preserve">futurismo, quali </w:t>
      </w:r>
      <w:r w:rsidRPr="00CB0F41">
        <w:rPr>
          <w:rFonts w:cs="Arial"/>
          <w:i/>
          <w:u w:val="single"/>
          <w:shd w:val="clear" w:color="auto" w:fill="FFFFFF"/>
        </w:rPr>
        <w:t>l'esaltazione del lavoro dell'uomo e l'importanza della città moderna plasmata sulle esigenze del nuovo concetto di uomo del futuro</w:t>
      </w:r>
      <w:r w:rsidRPr="00660B28">
        <w:rPr>
          <w:rFonts w:cs="Arial"/>
          <w:shd w:val="clear" w:color="auto" w:fill="FFFFFF"/>
        </w:rPr>
        <w:t xml:space="preserve">. Tuttavia, non manca una vena simbolica che dall’inizio </w:t>
      </w:r>
      <w:r w:rsidR="0084111C">
        <w:rPr>
          <w:rFonts w:cs="Arial"/>
          <w:shd w:val="clear" w:color="auto" w:fill="FFFFFF"/>
        </w:rPr>
        <w:t>h</w:t>
      </w:r>
      <w:r w:rsidRPr="00660B28">
        <w:rPr>
          <w:rFonts w:cs="Arial"/>
          <w:shd w:val="clear" w:color="auto" w:fill="FFFFFF"/>
        </w:rPr>
        <w:t>a caratter</w:t>
      </w:r>
      <w:r w:rsidR="00660B28" w:rsidRPr="00660B28">
        <w:rPr>
          <w:rFonts w:cs="Arial"/>
          <w:shd w:val="clear" w:color="auto" w:fill="FFFFFF"/>
        </w:rPr>
        <w:t>izzato la pittura di Boccioni. G</w:t>
      </w:r>
      <w:r w:rsidRPr="00660B28">
        <w:rPr>
          <w:rFonts w:cs="Arial"/>
          <w:shd w:val="clear" w:color="auto" w:fill="FFFFFF"/>
        </w:rPr>
        <w:t xml:space="preserve">li uomini inesorabilmente e violentemente travolti dalla folle corsa dei cavalli, rappresentano simbolicamente l’inarrestabile corsa verso il progresso e l’era delle macchine che, nei cantieri come nella fabbriche, prenderanno inevitabilmente il posto della forza lavoro </w:t>
      </w:r>
      <w:r w:rsidR="00660B28" w:rsidRPr="00660B28">
        <w:rPr>
          <w:rFonts w:cs="Arial"/>
          <w:shd w:val="clear" w:color="auto" w:fill="FFFFFF"/>
        </w:rPr>
        <w:t>una volta rappresentata dagli operai. I cavalli sono la metafora delle macchine industriali e i fantini in tuta blu, rappresentano gli operai specializzati della nuova era dell’industrializzazione e dell’automazione. Il tutto sullo sfondo di una città che si rinnova e si modernizza. Non per niente, si intravede nel panorama urbano, la centrale elettrica in costruzione.</w:t>
      </w:r>
      <w:r w:rsidR="001764BA">
        <w:rPr>
          <w:rFonts w:cs="Arial"/>
          <w:shd w:val="clear" w:color="auto" w:fill="FFFFFF"/>
        </w:rPr>
        <w:t xml:space="preserve"> </w:t>
      </w:r>
    </w:p>
    <w:p w:rsidR="00627D5F" w:rsidRPr="00765BDE" w:rsidRDefault="001764BA" w:rsidP="00765BDE">
      <w:pPr>
        <w:ind w:left="720"/>
        <w:jc w:val="both"/>
        <w:rPr>
          <w:rFonts w:cs="Arial"/>
          <w:shd w:val="clear" w:color="auto" w:fill="FFFFFF"/>
        </w:rPr>
      </w:pPr>
      <w:r w:rsidRPr="001764BA">
        <w:rPr>
          <w:rFonts w:cs="Arial"/>
          <w:shd w:val="clear" w:color="auto" w:fill="FFFFFF"/>
        </w:rPr>
        <w:t xml:space="preserve">Ciò che mette il quadro perfettamente in linea con lo </w:t>
      </w:r>
      <w:r w:rsidRPr="001764BA">
        <w:rPr>
          <w:rFonts w:cs="Arial"/>
          <w:b/>
          <w:i/>
          <w:shd w:val="clear" w:color="auto" w:fill="FFFFFF"/>
        </w:rPr>
        <w:t>spirito futurista</w:t>
      </w:r>
      <w:r w:rsidRPr="001764BA">
        <w:rPr>
          <w:rFonts w:cs="Arial"/>
          <w:shd w:val="clear" w:color="auto" w:fill="FFFFFF"/>
        </w:rPr>
        <w:t xml:space="preserve"> è però l'esaltazione visiva della </w:t>
      </w:r>
      <w:r w:rsidRPr="001764BA">
        <w:rPr>
          <w:rFonts w:cs="Arial"/>
          <w:b/>
          <w:i/>
          <w:shd w:val="clear" w:color="auto" w:fill="FFFFFF"/>
        </w:rPr>
        <w:t>forza</w:t>
      </w:r>
      <w:r w:rsidRPr="001764BA">
        <w:rPr>
          <w:rFonts w:cs="Arial"/>
          <w:shd w:val="clear" w:color="auto" w:fill="FFFFFF"/>
        </w:rPr>
        <w:t xml:space="preserve"> e del </w:t>
      </w:r>
      <w:r w:rsidRPr="001764BA">
        <w:rPr>
          <w:rFonts w:cs="Arial"/>
          <w:b/>
          <w:i/>
          <w:shd w:val="clear" w:color="auto" w:fill="FFFFFF"/>
        </w:rPr>
        <w:t>movimento</w:t>
      </w:r>
      <w:r w:rsidRPr="001764BA">
        <w:rPr>
          <w:rFonts w:cs="Arial"/>
          <w:shd w:val="clear" w:color="auto" w:fill="FFFFFF"/>
        </w:rPr>
        <w:t>, della quale sono protagonisti uomini e cavalli</w:t>
      </w:r>
      <w:r w:rsidRPr="001764BA">
        <w:rPr>
          <w:rStyle w:val="apple-converted-space"/>
          <w:rFonts w:cs="Arial"/>
          <w:shd w:val="clear" w:color="auto" w:fill="FFFFFF"/>
        </w:rPr>
        <w:t xml:space="preserve">. </w:t>
      </w:r>
      <w:r w:rsidRPr="001764BA">
        <w:rPr>
          <w:rFonts w:cs="Arial"/>
          <w:shd w:val="clear" w:color="auto" w:fill="FFFFFF"/>
        </w:rPr>
        <w:t xml:space="preserve">Il soggetto dunque, da raffigurazione di un normale momento di lavoro in un qualunque cantiere, si trasforma nella </w:t>
      </w:r>
      <w:r w:rsidRPr="001764BA">
        <w:rPr>
          <w:rFonts w:cs="Arial"/>
          <w:i/>
          <w:u w:val="single"/>
          <w:shd w:val="clear" w:color="auto" w:fill="FFFFFF"/>
        </w:rPr>
        <w:t>celebrazione dell'idea del progresso industriale con la sua inarrestabile avanzata</w:t>
      </w:r>
      <w:r w:rsidRPr="001764BA">
        <w:rPr>
          <w:rFonts w:cs="Arial"/>
          <w:shd w:val="clear" w:color="auto" w:fill="FFFFFF"/>
        </w:rPr>
        <w:t>. Sintesi di ciò è il cavallo inutilmente trattenuto dagli uomini attaccati alle sue briglie.</w:t>
      </w:r>
    </w:p>
    <w:p w:rsidR="00B43560" w:rsidRDefault="00EB5B27" w:rsidP="0016228B">
      <w:pPr>
        <w:pStyle w:val="Paragrafoelenco"/>
        <w:numPr>
          <w:ilvl w:val="0"/>
          <w:numId w:val="21"/>
        </w:numPr>
        <w:jc w:val="both"/>
        <w:rPr>
          <w:b/>
        </w:rPr>
      </w:pPr>
      <w:r>
        <w:rPr>
          <w:b/>
        </w:rPr>
        <w:t>ANALISI DEGLI ELEMENTI DEL CODICE DEL LINGUAGGIO VISIVO USATO DALL’ARTISTA:</w:t>
      </w:r>
    </w:p>
    <w:p w:rsidR="00355E18" w:rsidRDefault="00355E18" w:rsidP="00355E18">
      <w:pPr>
        <w:pStyle w:val="Paragrafoelenco"/>
        <w:jc w:val="both"/>
      </w:pPr>
    </w:p>
    <w:p w:rsidR="00355E18" w:rsidRPr="00355E18" w:rsidRDefault="00355E18" w:rsidP="00355E18">
      <w:pPr>
        <w:shd w:val="clear" w:color="auto" w:fill="FFFFFF"/>
        <w:spacing w:before="120" w:after="120" w:line="278" w:lineRule="atLeast"/>
        <w:ind w:left="708"/>
        <w:jc w:val="both"/>
        <w:rPr>
          <w:rFonts w:eastAsia="Times New Roman" w:cs="Arial"/>
          <w:lang w:eastAsia="it-IT"/>
        </w:rPr>
      </w:pPr>
      <w:r w:rsidRPr="00355E18">
        <w:rPr>
          <w:rFonts w:eastAsia="Times New Roman" w:cs="Arial"/>
          <w:lang w:eastAsia="it-IT"/>
        </w:rPr>
        <w:t xml:space="preserve">La </w:t>
      </w:r>
      <w:r w:rsidRPr="00355E18">
        <w:rPr>
          <w:rFonts w:eastAsia="Times New Roman" w:cs="Arial"/>
          <w:b/>
          <w:i/>
          <w:lang w:eastAsia="it-IT"/>
        </w:rPr>
        <w:t>composizione</w:t>
      </w:r>
      <w:r w:rsidRPr="00355E18">
        <w:rPr>
          <w:rFonts w:eastAsia="Times New Roman" w:cs="Arial"/>
          <w:lang w:eastAsia="it-IT"/>
        </w:rPr>
        <w:t xml:space="preserve"> del quadro conserva tuttavia ancora un impianto abbastanza tradizionale. Le figure sono scandite su precisi piani di profondità dove in basso si vedono le figure in primo piano, mentre in alto quelle sui piani più profondi.</w:t>
      </w:r>
    </w:p>
    <w:p w:rsidR="00355E18" w:rsidRPr="00355E18" w:rsidRDefault="00355E18" w:rsidP="00355E18">
      <w:pPr>
        <w:shd w:val="clear" w:color="auto" w:fill="FFFFFF"/>
        <w:spacing w:before="120" w:after="120" w:line="278" w:lineRule="atLeast"/>
        <w:ind w:firstLine="408"/>
        <w:jc w:val="both"/>
        <w:rPr>
          <w:rFonts w:eastAsia="Times New Roman" w:cs="Arial"/>
          <w:lang w:eastAsia="it-IT"/>
        </w:rPr>
      </w:pPr>
      <w:r w:rsidRPr="00355E18">
        <w:rPr>
          <w:rFonts w:eastAsia="Times New Roman" w:cs="Arial"/>
          <w:lang w:eastAsia="it-IT"/>
        </w:rPr>
        <w:t>la composizione può essere divisa in tre fasce orizzontali che corrispondono ad altrettanti piani:</w:t>
      </w:r>
    </w:p>
    <w:p w:rsidR="00355E18" w:rsidRPr="00355E18" w:rsidRDefault="00355E18" w:rsidP="00355E18">
      <w:pPr>
        <w:numPr>
          <w:ilvl w:val="0"/>
          <w:numId w:val="47"/>
        </w:numPr>
        <w:shd w:val="clear" w:color="auto" w:fill="FFFFFF"/>
        <w:spacing w:before="100" w:beforeAutospacing="1" w:after="24" w:line="360" w:lineRule="atLeast"/>
        <w:ind w:left="768"/>
        <w:jc w:val="both"/>
        <w:rPr>
          <w:rFonts w:eastAsia="Times New Roman" w:cs="Arial"/>
          <w:lang w:eastAsia="it-IT"/>
        </w:rPr>
      </w:pPr>
      <w:r w:rsidRPr="00355E18">
        <w:rPr>
          <w:rFonts w:eastAsia="Times New Roman" w:cs="Arial"/>
          <w:lang w:eastAsia="it-IT"/>
        </w:rPr>
        <w:t>in basso </w:t>
      </w:r>
      <w:hyperlink r:id="rId10" w:tooltip="Umberto Boccioni" w:history="1">
        <w:r w:rsidRPr="00355E18">
          <w:rPr>
            <w:rFonts w:eastAsia="Times New Roman" w:cs="Arial"/>
            <w:lang w:eastAsia="it-IT"/>
          </w:rPr>
          <w:t>Boccioni</w:t>
        </w:r>
      </w:hyperlink>
      <w:r w:rsidRPr="00355E18">
        <w:rPr>
          <w:rFonts w:eastAsia="Times New Roman" w:cs="Arial"/>
          <w:lang w:eastAsia="it-IT"/>
        </w:rPr>
        <w:t xml:space="preserve"> colloca le figure umane realizzate secondo </w:t>
      </w:r>
      <w:r w:rsidRPr="00355E18">
        <w:rPr>
          <w:rFonts w:eastAsia="Times New Roman" w:cs="Arial"/>
          <w:b/>
          <w:i/>
          <w:lang w:eastAsia="it-IT"/>
        </w:rPr>
        <w:t>linee oblique</w:t>
      </w:r>
      <w:r w:rsidRPr="00355E18">
        <w:rPr>
          <w:rFonts w:eastAsia="Times New Roman" w:cs="Arial"/>
          <w:lang w:eastAsia="it-IT"/>
        </w:rPr>
        <w:t xml:space="preserve"> che ne evidenziano lo </w:t>
      </w:r>
      <w:r w:rsidRPr="00355E18">
        <w:rPr>
          <w:rFonts w:eastAsia="Times New Roman" w:cs="Arial"/>
          <w:b/>
          <w:i/>
          <w:lang w:eastAsia="it-IT"/>
        </w:rPr>
        <w:t>sforzo dinamico</w:t>
      </w:r>
      <w:r w:rsidRPr="00355E18">
        <w:rPr>
          <w:rFonts w:eastAsia="Times New Roman" w:cs="Arial"/>
          <w:lang w:eastAsia="it-IT"/>
        </w:rPr>
        <w:t>.</w:t>
      </w:r>
    </w:p>
    <w:p w:rsidR="00355E18" w:rsidRPr="00355E18" w:rsidRDefault="00355E18" w:rsidP="00355E18">
      <w:pPr>
        <w:numPr>
          <w:ilvl w:val="0"/>
          <w:numId w:val="47"/>
        </w:numPr>
        <w:shd w:val="clear" w:color="auto" w:fill="FFFFFF"/>
        <w:spacing w:before="100" w:beforeAutospacing="1" w:after="24" w:line="360" w:lineRule="atLeast"/>
        <w:ind w:left="768"/>
        <w:jc w:val="both"/>
        <w:rPr>
          <w:rFonts w:eastAsia="Times New Roman" w:cs="Arial"/>
          <w:lang w:eastAsia="it-IT"/>
        </w:rPr>
      </w:pPr>
      <w:r w:rsidRPr="00355E18">
        <w:rPr>
          <w:rFonts w:eastAsia="Times New Roman" w:cs="Arial"/>
          <w:lang w:eastAsia="it-IT"/>
        </w:rPr>
        <w:t>al centro dominano delle figure di cavalli, tra le quali ne risaltano tre, gli ultimi due hanno una colorazione rossa e dei profili di colore blu che rappresentano i cavalieri sulla groppa:</w:t>
      </w:r>
    </w:p>
    <w:p w:rsidR="00355E18" w:rsidRPr="00355E18" w:rsidRDefault="00355E18" w:rsidP="00355E18">
      <w:pPr>
        <w:numPr>
          <w:ilvl w:val="1"/>
          <w:numId w:val="47"/>
        </w:numPr>
        <w:shd w:val="clear" w:color="auto" w:fill="FFFFFF"/>
        <w:spacing w:before="100" w:beforeAutospacing="1" w:after="24" w:line="360" w:lineRule="atLeast"/>
        <w:ind w:left="1536"/>
        <w:jc w:val="both"/>
        <w:rPr>
          <w:rFonts w:eastAsia="Times New Roman" w:cs="Arial"/>
          <w:lang w:eastAsia="it-IT"/>
        </w:rPr>
      </w:pPr>
      <w:r w:rsidRPr="00355E18">
        <w:rPr>
          <w:rFonts w:eastAsia="Times New Roman" w:cs="Arial"/>
          <w:lang w:eastAsia="it-IT"/>
        </w:rPr>
        <w:t>uno bianco a sinistra che rivolge lo sguardo verso destra,</w:t>
      </w:r>
    </w:p>
    <w:p w:rsidR="00355E18" w:rsidRPr="00355E18" w:rsidRDefault="00355E18" w:rsidP="00355E18">
      <w:pPr>
        <w:numPr>
          <w:ilvl w:val="1"/>
          <w:numId w:val="47"/>
        </w:numPr>
        <w:shd w:val="clear" w:color="auto" w:fill="FFFFFF"/>
        <w:spacing w:before="100" w:beforeAutospacing="1" w:after="24" w:line="360" w:lineRule="atLeast"/>
        <w:ind w:left="1536"/>
        <w:jc w:val="both"/>
        <w:rPr>
          <w:rFonts w:eastAsia="Times New Roman" w:cs="Arial"/>
          <w:lang w:eastAsia="it-IT"/>
        </w:rPr>
      </w:pPr>
      <w:r w:rsidRPr="00355E18">
        <w:rPr>
          <w:rFonts w:eastAsia="Times New Roman" w:cs="Arial"/>
          <w:lang w:eastAsia="it-IT"/>
        </w:rPr>
        <w:t>uno al centro che domina il centro del quadro,</w:t>
      </w:r>
    </w:p>
    <w:p w:rsidR="00355E18" w:rsidRPr="00355E18" w:rsidRDefault="00355E18" w:rsidP="00355E18">
      <w:pPr>
        <w:numPr>
          <w:ilvl w:val="1"/>
          <w:numId w:val="47"/>
        </w:numPr>
        <w:shd w:val="clear" w:color="auto" w:fill="FFFFFF"/>
        <w:spacing w:before="100" w:beforeAutospacing="1" w:after="24" w:line="360" w:lineRule="atLeast"/>
        <w:ind w:left="1536"/>
        <w:jc w:val="both"/>
        <w:rPr>
          <w:rFonts w:eastAsia="Times New Roman" w:cs="Arial"/>
          <w:lang w:eastAsia="it-IT"/>
        </w:rPr>
      </w:pPr>
      <w:r w:rsidRPr="00355E18">
        <w:rPr>
          <w:rFonts w:eastAsia="Times New Roman" w:cs="Arial"/>
          <w:lang w:eastAsia="it-IT"/>
        </w:rPr>
        <w:t>uno sulla destra,</w:t>
      </w:r>
    </w:p>
    <w:p w:rsidR="00355E18" w:rsidRDefault="00355E18" w:rsidP="00355E18">
      <w:pPr>
        <w:numPr>
          <w:ilvl w:val="0"/>
          <w:numId w:val="47"/>
        </w:numPr>
        <w:shd w:val="clear" w:color="auto" w:fill="FFFFFF"/>
        <w:spacing w:before="100" w:beforeAutospacing="1" w:after="24" w:line="360" w:lineRule="atLeast"/>
        <w:ind w:left="768"/>
        <w:jc w:val="both"/>
        <w:rPr>
          <w:rFonts w:eastAsia="Times New Roman" w:cs="Arial"/>
          <w:lang w:eastAsia="it-IT"/>
        </w:rPr>
      </w:pPr>
      <w:r w:rsidRPr="00355E18">
        <w:rPr>
          <w:rFonts w:eastAsia="Times New Roman" w:cs="Arial"/>
          <w:lang w:eastAsia="it-IT"/>
        </w:rPr>
        <w:t>nel terzo piano appare lo sfondo di una periferia urbana, che probabilmente andrebbe identificata con un quartiere di Milano</w:t>
      </w:r>
      <w:r w:rsidR="000A7C88">
        <w:rPr>
          <w:rFonts w:eastAsia="Times New Roman" w:cs="Arial"/>
          <w:lang w:eastAsia="it-IT"/>
        </w:rPr>
        <w:t xml:space="preserve"> (o la sua centrale elettrica)</w:t>
      </w:r>
      <w:r w:rsidRPr="00355E18">
        <w:rPr>
          <w:rFonts w:eastAsia="Times New Roman" w:cs="Arial"/>
          <w:lang w:eastAsia="it-IT"/>
        </w:rPr>
        <w:t xml:space="preserve"> in costruzione.</w:t>
      </w:r>
    </w:p>
    <w:p w:rsidR="005F2C92" w:rsidRDefault="005F2C92" w:rsidP="005F2C92">
      <w:pPr>
        <w:shd w:val="clear" w:color="auto" w:fill="FFFFFF"/>
        <w:spacing w:before="100" w:beforeAutospacing="1" w:after="24" w:line="360" w:lineRule="atLeast"/>
        <w:ind w:left="408"/>
        <w:jc w:val="both"/>
        <w:rPr>
          <w:rFonts w:eastAsia="Times New Roman" w:cs="Arial"/>
          <w:lang w:eastAsia="it-IT"/>
        </w:rPr>
      </w:pPr>
      <w:r>
        <w:rPr>
          <w:rFonts w:eastAsia="Times New Roman" w:cs="Arial"/>
          <w:lang w:eastAsia="it-IT"/>
        </w:rPr>
        <w:lastRenderedPageBreak/>
        <w:t xml:space="preserve">Boccioni non delinea chiaramente le singole </w:t>
      </w:r>
      <w:r w:rsidRPr="004E6E36">
        <w:rPr>
          <w:rFonts w:eastAsia="Times New Roman" w:cs="Arial"/>
          <w:b/>
          <w:i/>
          <w:lang w:eastAsia="it-IT"/>
        </w:rPr>
        <w:t>figure</w:t>
      </w:r>
      <w:r>
        <w:rPr>
          <w:rFonts w:eastAsia="Times New Roman" w:cs="Arial"/>
          <w:lang w:eastAsia="it-IT"/>
        </w:rPr>
        <w:t xml:space="preserve">, anzi le sovrappone, le incastra l’una sull’altra come se si trattasse di </w:t>
      </w:r>
      <w:r w:rsidRPr="00D918E4">
        <w:rPr>
          <w:rFonts w:eastAsia="Times New Roman" w:cs="Arial"/>
          <w:b/>
          <w:i/>
          <w:lang w:eastAsia="it-IT"/>
        </w:rPr>
        <w:t>visioni simultanee</w:t>
      </w:r>
      <w:r>
        <w:rPr>
          <w:rFonts w:eastAsia="Times New Roman" w:cs="Arial"/>
          <w:lang w:eastAsia="it-IT"/>
        </w:rPr>
        <w:t>.</w:t>
      </w:r>
    </w:p>
    <w:p w:rsidR="005F2C92" w:rsidRDefault="005F2C92" w:rsidP="005F2C92">
      <w:pPr>
        <w:shd w:val="clear" w:color="auto" w:fill="FFFFFF"/>
        <w:spacing w:before="100" w:beforeAutospacing="1" w:after="24" w:line="360" w:lineRule="atLeast"/>
        <w:ind w:left="408"/>
        <w:jc w:val="both"/>
        <w:rPr>
          <w:rFonts w:eastAsia="Times New Roman" w:cs="Arial"/>
          <w:lang w:eastAsia="it-IT"/>
        </w:rPr>
      </w:pPr>
      <w:r>
        <w:rPr>
          <w:rFonts w:eastAsia="Times New Roman" w:cs="Arial"/>
          <w:lang w:eastAsia="it-IT"/>
        </w:rPr>
        <w:t xml:space="preserve">La </w:t>
      </w:r>
      <w:r w:rsidRPr="00D918E4">
        <w:rPr>
          <w:rFonts w:eastAsia="Times New Roman" w:cs="Arial"/>
          <w:b/>
          <w:i/>
          <w:lang w:eastAsia="it-IT"/>
        </w:rPr>
        <w:t>prospettiva</w:t>
      </w:r>
      <w:r>
        <w:rPr>
          <w:rFonts w:eastAsia="Times New Roman" w:cs="Arial"/>
          <w:lang w:eastAsia="it-IT"/>
        </w:rPr>
        <w:t xml:space="preserve"> </w:t>
      </w:r>
      <w:r w:rsidRPr="00D918E4">
        <w:rPr>
          <w:rFonts w:eastAsia="Times New Roman" w:cs="Arial"/>
          <w:b/>
          <w:i/>
          <w:lang w:eastAsia="it-IT"/>
        </w:rPr>
        <w:t>centrale</w:t>
      </w:r>
      <w:r>
        <w:rPr>
          <w:rFonts w:eastAsia="Times New Roman" w:cs="Arial"/>
          <w:lang w:eastAsia="it-IT"/>
        </w:rPr>
        <w:t xml:space="preserve"> </w:t>
      </w:r>
      <w:r w:rsidRPr="00D918E4">
        <w:rPr>
          <w:rFonts w:eastAsia="Times New Roman" w:cs="Arial"/>
          <w:b/>
          <w:i/>
          <w:lang w:eastAsia="it-IT"/>
        </w:rPr>
        <w:t>è</w:t>
      </w:r>
      <w:r>
        <w:rPr>
          <w:rFonts w:eastAsia="Times New Roman" w:cs="Arial"/>
          <w:lang w:eastAsia="it-IT"/>
        </w:rPr>
        <w:t xml:space="preserve"> </w:t>
      </w:r>
      <w:r w:rsidRPr="00D918E4">
        <w:rPr>
          <w:rFonts w:eastAsia="Times New Roman" w:cs="Arial"/>
          <w:b/>
          <w:i/>
          <w:lang w:eastAsia="it-IT"/>
        </w:rPr>
        <w:t>abolita</w:t>
      </w:r>
      <w:r>
        <w:rPr>
          <w:rFonts w:eastAsia="Times New Roman" w:cs="Arial"/>
          <w:lang w:eastAsia="it-IT"/>
        </w:rPr>
        <w:t>, uomini e cose sono visti da diverse angolazioni come se lo spettatore fosse immerso direttamente in quella confusione.</w:t>
      </w:r>
    </w:p>
    <w:p w:rsidR="005F2C92" w:rsidRDefault="005F2C92" w:rsidP="005F2C92">
      <w:pPr>
        <w:shd w:val="clear" w:color="auto" w:fill="FFFFFF"/>
        <w:spacing w:before="100" w:beforeAutospacing="1" w:after="24" w:line="360" w:lineRule="atLeast"/>
        <w:ind w:left="408"/>
        <w:jc w:val="both"/>
        <w:rPr>
          <w:rFonts w:eastAsia="Times New Roman" w:cs="Arial"/>
          <w:lang w:eastAsia="it-IT"/>
        </w:rPr>
      </w:pPr>
      <w:r>
        <w:rPr>
          <w:rFonts w:eastAsia="Times New Roman" w:cs="Arial"/>
          <w:lang w:eastAsia="it-IT"/>
        </w:rPr>
        <w:t xml:space="preserve">Per rendere ancora più vibrante l’effetto d’insieme, l’artista usa la </w:t>
      </w:r>
      <w:r w:rsidRPr="00D918E4">
        <w:rPr>
          <w:rFonts w:eastAsia="Times New Roman" w:cs="Arial"/>
          <w:b/>
          <w:i/>
          <w:lang w:eastAsia="it-IT"/>
        </w:rPr>
        <w:t>tecnica divisionista</w:t>
      </w:r>
      <w:r>
        <w:rPr>
          <w:rFonts w:eastAsia="Times New Roman" w:cs="Arial"/>
          <w:lang w:eastAsia="it-IT"/>
        </w:rPr>
        <w:t>, scomponendo ogni figura in tante pennellate di colore che creano sulla tela dei vortici colorati.</w:t>
      </w:r>
    </w:p>
    <w:p w:rsidR="005F2C92" w:rsidRPr="00355E18" w:rsidRDefault="005F2C92" w:rsidP="005F2C92">
      <w:pPr>
        <w:shd w:val="clear" w:color="auto" w:fill="FFFFFF"/>
        <w:spacing w:before="100" w:beforeAutospacing="1" w:after="24" w:line="360" w:lineRule="atLeast"/>
        <w:ind w:left="408"/>
        <w:jc w:val="both"/>
        <w:rPr>
          <w:rFonts w:eastAsia="Times New Roman" w:cs="Arial"/>
          <w:lang w:eastAsia="it-IT"/>
        </w:rPr>
      </w:pPr>
    </w:p>
    <w:p w:rsidR="00355E18" w:rsidRPr="00355E18" w:rsidRDefault="00355E18" w:rsidP="00355E18">
      <w:pPr>
        <w:pStyle w:val="Paragrafoelenco"/>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2F1" w:rsidRDefault="004F22F1" w:rsidP="004C4712">
      <w:pPr>
        <w:spacing w:after="0" w:line="240" w:lineRule="auto"/>
      </w:pPr>
      <w:r>
        <w:separator/>
      </w:r>
    </w:p>
  </w:endnote>
  <w:endnote w:type="continuationSeparator" w:id="0">
    <w:p w:rsidR="004F22F1" w:rsidRDefault="004F22F1"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926FE7">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7F728A" w:rsidRPr="007F728A">
                      <w:rPr>
                        <w:noProof/>
                        <w:color w:val="FFFFFF" w:themeColor="background1"/>
                      </w:rPr>
                      <w:t>3</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2F1" w:rsidRDefault="004F22F1" w:rsidP="004C4712">
      <w:pPr>
        <w:spacing w:after="0" w:line="240" w:lineRule="auto"/>
      </w:pPr>
      <w:r>
        <w:separator/>
      </w:r>
    </w:p>
  </w:footnote>
  <w:footnote w:type="continuationSeparator" w:id="0">
    <w:p w:rsidR="004F22F1" w:rsidRDefault="004F22F1"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926FE7">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Lettura visiv</w:t>
                      </w:r>
                      <w:r w:rsidR="00366D69">
                        <w:rPr>
                          <w:color w:val="FFFFFF" w:themeColor="background1"/>
                          <w:sz w:val="28"/>
                          <w:szCs w:val="28"/>
                        </w:rPr>
                        <w:t xml:space="preserve">a (arti figurative) – Scheda </w:t>
                      </w:r>
                      <w:proofErr w:type="spellStart"/>
                      <w:r w:rsidR="00366D69">
                        <w:rPr>
                          <w:color w:val="FFFFFF" w:themeColor="background1"/>
                          <w:sz w:val="28"/>
                          <w:szCs w:val="28"/>
                        </w:rPr>
                        <w:t>N°</w:t>
                      </w:r>
                      <w:proofErr w:type="spellEnd"/>
                      <w:r w:rsidR="00366D69">
                        <w:rPr>
                          <w:color w:val="FFFFFF" w:themeColor="background1"/>
                          <w:sz w:val="28"/>
                          <w:szCs w:val="28"/>
                        </w:rPr>
                        <w:t>: U. Boccioni – “La città che sale”</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926FE7">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366D69">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2D3F89"/>
    <w:multiLevelType w:val="multilevel"/>
    <w:tmpl w:val="30DE13A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1">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9">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1">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5"/>
  </w:num>
  <w:num w:numId="2">
    <w:abstractNumId w:val="24"/>
  </w:num>
  <w:num w:numId="3">
    <w:abstractNumId w:val="0"/>
  </w:num>
  <w:num w:numId="4">
    <w:abstractNumId w:val="30"/>
  </w:num>
  <w:num w:numId="5">
    <w:abstractNumId w:val="8"/>
  </w:num>
  <w:num w:numId="6">
    <w:abstractNumId w:val="37"/>
  </w:num>
  <w:num w:numId="7">
    <w:abstractNumId w:val="17"/>
  </w:num>
  <w:num w:numId="8">
    <w:abstractNumId w:val="21"/>
  </w:num>
  <w:num w:numId="9">
    <w:abstractNumId w:val="20"/>
  </w:num>
  <w:num w:numId="10">
    <w:abstractNumId w:val="32"/>
  </w:num>
  <w:num w:numId="11">
    <w:abstractNumId w:val="9"/>
  </w:num>
  <w:num w:numId="12">
    <w:abstractNumId w:val="15"/>
  </w:num>
  <w:num w:numId="13">
    <w:abstractNumId w:val="44"/>
  </w:num>
  <w:num w:numId="14">
    <w:abstractNumId w:val="22"/>
  </w:num>
  <w:num w:numId="15">
    <w:abstractNumId w:val="14"/>
  </w:num>
  <w:num w:numId="16">
    <w:abstractNumId w:val="2"/>
  </w:num>
  <w:num w:numId="17">
    <w:abstractNumId w:val="26"/>
  </w:num>
  <w:num w:numId="18">
    <w:abstractNumId w:val="36"/>
  </w:num>
  <w:num w:numId="19">
    <w:abstractNumId w:val="10"/>
  </w:num>
  <w:num w:numId="20">
    <w:abstractNumId w:val="43"/>
  </w:num>
  <w:num w:numId="21">
    <w:abstractNumId w:val="39"/>
  </w:num>
  <w:num w:numId="22">
    <w:abstractNumId w:val="12"/>
  </w:num>
  <w:num w:numId="23">
    <w:abstractNumId w:val="11"/>
  </w:num>
  <w:num w:numId="24">
    <w:abstractNumId w:val="4"/>
  </w:num>
  <w:num w:numId="25">
    <w:abstractNumId w:val="3"/>
  </w:num>
  <w:num w:numId="26">
    <w:abstractNumId w:val="18"/>
  </w:num>
  <w:num w:numId="27">
    <w:abstractNumId w:val="38"/>
  </w:num>
  <w:num w:numId="28">
    <w:abstractNumId w:val="16"/>
  </w:num>
  <w:num w:numId="29">
    <w:abstractNumId w:val="7"/>
  </w:num>
  <w:num w:numId="30">
    <w:abstractNumId w:val="6"/>
  </w:num>
  <w:num w:numId="31">
    <w:abstractNumId w:val="28"/>
  </w:num>
  <w:num w:numId="32">
    <w:abstractNumId w:val="40"/>
  </w:num>
  <w:num w:numId="33">
    <w:abstractNumId w:val="25"/>
  </w:num>
  <w:num w:numId="34">
    <w:abstractNumId w:val="31"/>
  </w:num>
  <w:num w:numId="35">
    <w:abstractNumId w:val="5"/>
  </w:num>
  <w:num w:numId="36">
    <w:abstractNumId w:val="46"/>
  </w:num>
  <w:num w:numId="37">
    <w:abstractNumId w:val="45"/>
  </w:num>
  <w:num w:numId="38">
    <w:abstractNumId w:val="42"/>
  </w:num>
  <w:num w:numId="39">
    <w:abstractNumId w:val="1"/>
  </w:num>
  <w:num w:numId="40">
    <w:abstractNumId w:val="19"/>
  </w:num>
  <w:num w:numId="41">
    <w:abstractNumId w:val="34"/>
  </w:num>
  <w:num w:numId="42">
    <w:abstractNumId w:val="27"/>
  </w:num>
  <w:num w:numId="43">
    <w:abstractNumId w:val="33"/>
  </w:num>
  <w:num w:numId="44">
    <w:abstractNumId w:val="23"/>
  </w:num>
  <w:num w:numId="45">
    <w:abstractNumId w:val="13"/>
  </w:num>
  <w:num w:numId="46">
    <w:abstractNumId w:val="41"/>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tAiCi39St6yPRDy1zJgXoSbk9kw=" w:salt="COf6ufqIsCwF1d5K34wlIQ=="/>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A7C88"/>
    <w:rsid w:val="000C1972"/>
    <w:rsid w:val="000F41F8"/>
    <w:rsid w:val="00101FE8"/>
    <w:rsid w:val="0013067C"/>
    <w:rsid w:val="0016228B"/>
    <w:rsid w:val="00171B53"/>
    <w:rsid w:val="001764BA"/>
    <w:rsid w:val="001C32C3"/>
    <w:rsid w:val="001E40E0"/>
    <w:rsid w:val="001F7CBF"/>
    <w:rsid w:val="00203929"/>
    <w:rsid w:val="002065E7"/>
    <w:rsid w:val="00252EF0"/>
    <w:rsid w:val="00271D37"/>
    <w:rsid w:val="0029057E"/>
    <w:rsid w:val="00296AA0"/>
    <w:rsid w:val="002B18B0"/>
    <w:rsid w:val="002C3C2A"/>
    <w:rsid w:val="00311A0D"/>
    <w:rsid w:val="00311E98"/>
    <w:rsid w:val="00330B14"/>
    <w:rsid w:val="00355E18"/>
    <w:rsid w:val="00366D69"/>
    <w:rsid w:val="00377FA5"/>
    <w:rsid w:val="00390B35"/>
    <w:rsid w:val="00396E4B"/>
    <w:rsid w:val="003A47FD"/>
    <w:rsid w:val="003C1EFB"/>
    <w:rsid w:val="003D1B37"/>
    <w:rsid w:val="003D5FCA"/>
    <w:rsid w:val="003D6135"/>
    <w:rsid w:val="003E68F8"/>
    <w:rsid w:val="004636FA"/>
    <w:rsid w:val="00485240"/>
    <w:rsid w:val="004C4712"/>
    <w:rsid w:val="004D71C9"/>
    <w:rsid w:val="004E6E36"/>
    <w:rsid w:val="004F22F1"/>
    <w:rsid w:val="00543828"/>
    <w:rsid w:val="0054655D"/>
    <w:rsid w:val="00551606"/>
    <w:rsid w:val="0055361D"/>
    <w:rsid w:val="00572D2A"/>
    <w:rsid w:val="005872B2"/>
    <w:rsid w:val="00597CE6"/>
    <w:rsid w:val="005F2C92"/>
    <w:rsid w:val="005F7332"/>
    <w:rsid w:val="00606FB6"/>
    <w:rsid w:val="00627D5F"/>
    <w:rsid w:val="006400FE"/>
    <w:rsid w:val="00645170"/>
    <w:rsid w:val="00660B28"/>
    <w:rsid w:val="00664143"/>
    <w:rsid w:val="00664C39"/>
    <w:rsid w:val="0067191A"/>
    <w:rsid w:val="006871B4"/>
    <w:rsid w:val="006A5578"/>
    <w:rsid w:val="006A560C"/>
    <w:rsid w:val="006C53A2"/>
    <w:rsid w:val="006E1C96"/>
    <w:rsid w:val="006F3E64"/>
    <w:rsid w:val="006F470A"/>
    <w:rsid w:val="00717EE1"/>
    <w:rsid w:val="00733669"/>
    <w:rsid w:val="00734384"/>
    <w:rsid w:val="00736E5C"/>
    <w:rsid w:val="00765BDE"/>
    <w:rsid w:val="0077265B"/>
    <w:rsid w:val="007732DF"/>
    <w:rsid w:val="00785F50"/>
    <w:rsid w:val="007A11AA"/>
    <w:rsid w:val="007A7BFD"/>
    <w:rsid w:val="007B45D2"/>
    <w:rsid w:val="007D3D22"/>
    <w:rsid w:val="007F6047"/>
    <w:rsid w:val="007F728A"/>
    <w:rsid w:val="00816003"/>
    <w:rsid w:val="008339A9"/>
    <w:rsid w:val="00836FA0"/>
    <w:rsid w:val="0084111C"/>
    <w:rsid w:val="008466E8"/>
    <w:rsid w:val="00861A2B"/>
    <w:rsid w:val="008941EE"/>
    <w:rsid w:val="008A1DC4"/>
    <w:rsid w:val="008A4441"/>
    <w:rsid w:val="008B01A3"/>
    <w:rsid w:val="008B57F1"/>
    <w:rsid w:val="008D716A"/>
    <w:rsid w:val="00912B10"/>
    <w:rsid w:val="00917232"/>
    <w:rsid w:val="00926FE7"/>
    <w:rsid w:val="00956073"/>
    <w:rsid w:val="00982AB1"/>
    <w:rsid w:val="00994F03"/>
    <w:rsid w:val="009A2156"/>
    <w:rsid w:val="009F6023"/>
    <w:rsid w:val="00A30AA8"/>
    <w:rsid w:val="00A51B4B"/>
    <w:rsid w:val="00A56129"/>
    <w:rsid w:val="00A66805"/>
    <w:rsid w:val="00AA7A70"/>
    <w:rsid w:val="00AB1BA0"/>
    <w:rsid w:val="00AD0B3A"/>
    <w:rsid w:val="00AD223D"/>
    <w:rsid w:val="00B17927"/>
    <w:rsid w:val="00B308DE"/>
    <w:rsid w:val="00B43560"/>
    <w:rsid w:val="00B5311F"/>
    <w:rsid w:val="00B75585"/>
    <w:rsid w:val="00B80E5F"/>
    <w:rsid w:val="00BD03AE"/>
    <w:rsid w:val="00BD5130"/>
    <w:rsid w:val="00BD74AE"/>
    <w:rsid w:val="00BE5F04"/>
    <w:rsid w:val="00C12464"/>
    <w:rsid w:val="00C63868"/>
    <w:rsid w:val="00C814FD"/>
    <w:rsid w:val="00C92AD7"/>
    <w:rsid w:val="00CB0F41"/>
    <w:rsid w:val="00CB7230"/>
    <w:rsid w:val="00D03E1D"/>
    <w:rsid w:val="00D918E4"/>
    <w:rsid w:val="00D93635"/>
    <w:rsid w:val="00D9509A"/>
    <w:rsid w:val="00DC1D4F"/>
    <w:rsid w:val="00DD10B8"/>
    <w:rsid w:val="00DD4167"/>
    <w:rsid w:val="00DE365D"/>
    <w:rsid w:val="00DF2840"/>
    <w:rsid w:val="00E8778B"/>
    <w:rsid w:val="00EB5B27"/>
    <w:rsid w:val="00EB7E6C"/>
    <w:rsid w:val="00F24BC8"/>
    <w:rsid w:val="00F5426E"/>
    <w:rsid w:val="00F832DF"/>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character" w:customStyle="1" w:styleId="apple-converted-space">
    <w:name w:val="apple-converted-space"/>
    <w:basedOn w:val="Carpredefinitoparagrafo"/>
    <w:rsid w:val="00296AA0"/>
  </w:style>
  <w:style w:type="character" w:styleId="Collegamentoipertestuale">
    <w:name w:val="Hyperlink"/>
    <w:basedOn w:val="Carpredefinitoparagrafo"/>
    <w:uiPriority w:val="99"/>
    <w:semiHidden/>
    <w:unhideWhenUsed/>
    <w:rsid w:val="00296AA0"/>
    <w:rPr>
      <w:color w:val="0000FF"/>
      <w:u w:val="single"/>
    </w:rPr>
  </w:style>
  <w:style w:type="paragraph" w:styleId="NormaleWeb">
    <w:name w:val="Normal (Web)"/>
    <w:basedOn w:val="Normale"/>
    <w:uiPriority w:val="99"/>
    <w:semiHidden/>
    <w:unhideWhenUsed/>
    <w:rsid w:val="00355E1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076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t.wikipedia.org/wiki/Umberto_Boccion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852176"/>
    <w:rsid w:val="008F1592"/>
    <w:rsid w:val="00B2540E"/>
    <w:rsid w:val="00B7667B"/>
    <w:rsid w:val="00C02788"/>
    <w:rsid w:val="00C5207A"/>
    <w:rsid w:val="00C64ED2"/>
    <w:rsid w:val="00D2480E"/>
    <w:rsid w:val="00EA62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7635E3-9CE3-4471-94C6-1C71C8EF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699</Words>
  <Characters>3985</Characters>
  <Application>Microsoft Office Word</Application>
  <DocSecurity>8</DocSecurity>
  <Lines>33</Lines>
  <Paragraphs>9</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 Scheda N : U. Boccioni – “La città che sale”</dc:title>
  <dc:creator>Giacomo</dc:creator>
  <cp:lastModifiedBy>Giacomo</cp:lastModifiedBy>
  <cp:revision>49</cp:revision>
  <dcterms:created xsi:type="dcterms:W3CDTF">2013-11-05T15:07:00Z</dcterms:created>
  <dcterms:modified xsi:type="dcterms:W3CDTF">2014-06-14T16:54:00Z</dcterms:modified>
</cp:coreProperties>
</file>