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A7498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62115" cy="4540250"/>
            <wp:effectExtent l="19050" t="0" r="635" b="0"/>
            <wp:wrapSquare wrapText="bothSides"/>
            <wp:docPr id="1" name="Immagine 1" descr="C:\Users\Giacomo\Desktop\arteinlab-lavori in corso\letture visive Bozze\PRIMO OTTOCENTO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arteinlab-lavori in corso\letture visive Bozze\PRIMO OTTOCENTO\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A52" w:rsidRPr="00A74983" w:rsidRDefault="00FE1A52" w:rsidP="00A74983"/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7C7EDC">
        <w:t>“Il Campo italiano dopo la battaglia di Magenta”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7C7EDC">
        <w:t>Giovanni Fattori</w:t>
      </w:r>
    </w:p>
    <w:p w:rsidR="00816003" w:rsidRPr="007C7EDC" w:rsidRDefault="008D716A" w:rsidP="00B308DE">
      <w:pPr>
        <w:pStyle w:val="Paragrafoelenco"/>
        <w:numPr>
          <w:ilvl w:val="0"/>
          <w:numId w:val="8"/>
        </w:numPr>
        <w:jc w:val="both"/>
        <w:rPr>
          <w:color w:val="FF0000"/>
        </w:rPr>
      </w:pPr>
      <w:r w:rsidRPr="00D9509A">
        <w:rPr>
          <w:b/>
        </w:rPr>
        <w:t xml:space="preserve">Datazione/Periodo storico: </w:t>
      </w:r>
      <w:r w:rsidR="007C7EDC" w:rsidRPr="007C7EDC">
        <w:t>1861/62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7C7EDC">
        <w:t>olio su tela</w:t>
      </w:r>
    </w:p>
    <w:p w:rsidR="00816003" w:rsidRPr="007C7EDC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7C7EDC" w:rsidRPr="007C7EDC">
        <w:t>232x348</w:t>
      </w:r>
    </w:p>
    <w:p w:rsidR="00A74983" w:rsidRPr="00C53361" w:rsidRDefault="00816003" w:rsidP="00A74983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7C7EDC" w:rsidRPr="007C7EDC">
        <w:t>Firenze, Galleria d'Arte Moderna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C53361" w:rsidRPr="00C53361" w:rsidRDefault="00252EF0" w:rsidP="00C53361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C53361" w:rsidRPr="00C53361" w:rsidRDefault="00C53361" w:rsidP="00C53361">
      <w:pPr>
        <w:ind w:left="720"/>
        <w:jc w:val="both"/>
      </w:pPr>
      <w:r w:rsidRPr="00C53361">
        <w:t>In primo piano gli ufficiali a cavallo seguono le operazioni di ristoro condotte dalle suore sulla diligenza, che raccolgono i feriti raffigurati sulla parte sinistra.</w:t>
      </w:r>
    </w:p>
    <w:p w:rsidR="00C53361" w:rsidRPr="00C53361" w:rsidRDefault="00C53361" w:rsidP="00C53361">
      <w:pPr>
        <w:ind w:left="720"/>
        <w:jc w:val="both"/>
      </w:pPr>
      <w:r w:rsidRPr="00C53361">
        <w:t>Sullo sfondo è appena accennato il profilo della città di Magenta, nascosta dai fumi della battaglia ancora in corso, che rimane però in lontananza.</w:t>
      </w:r>
    </w:p>
    <w:p w:rsidR="00C53361" w:rsidRPr="00C53361" w:rsidRDefault="00C53361" w:rsidP="00C53361">
      <w:pPr>
        <w:ind w:left="720"/>
        <w:jc w:val="both"/>
      </w:pPr>
      <w:r w:rsidRPr="00C53361">
        <w:t>La parte superiore del quadro è occupata da un cielo azzurro che amplia la prospettiva verso l'orizzonte, e il cui intenso azzurro trasmette una sensazione di tranquillità all'osservatore.</w:t>
      </w: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lastRenderedPageBreak/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C53361" w:rsidRPr="00C53361" w:rsidRDefault="00C53361" w:rsidP="00C53361">
      <w:pPr>
        <w:ind w:left="708"/>
        <w:jc w:val="both"/>
      </w:pPr>
      <w:r w:rsidRPr="00C53361">
        <w:t xml:space="preserve">Nel </w:t>
      </w:r>
      <w:r w:rsidRPr="00627317">
        <w:rPr>
          <w:b/>
          <w:i/>
        </w:rPr>
        <w:t>1859</w:t>
      </w:r>
      <w:r w:rsidRPr="00C53361">
        <w:t xml:space="preserve"> </w:t>
      </w:r>
      <w:r w:rsidRPr="00627317">
        <w:rPr>
          <w:b/>
          <w:i/>
        </w:rPr>
        <w:t>Bettino</w:t>
      </w:r>
      <w:r w:rsidRPr="00C53361">
        <w:t xml:space="preserve"> </w:t>
      </w:r>
      <w:proofErr w:type="spellStart"/>
      <w:r w:rsidRPr="00627317">
        <w:rPr>
          <w:b/>
          <w:i/>
        </w:rPr>
        <w:t>Ricasoli</w:t>
      </w:r>
      <w:proofErr w:type="spellEnd"/>
      <w:r w:rsidRPr="00C53361">
        <w:t xml:space="preserve">, capo del governo italiano, indisse un </w:t>
      </w:r>
      <w:r w:rsidRPr="00627317">
        <w:rPr>
          <w:b/>
          <w:i/>
        </w:rPr>
        <w:t>concorso</w:t>
      </w:r>
      <w:r w:rsidRPr="00C53361">
        <w:t xml:space="preserve"> per rappresentare le </w:t>
      </w:r>
      <w:r w:rsidRPr="00627317">
        <w:rPr>
          <w:b/>
          <w:i/>
        </w:rPr>
        <w:t>battaglie fondamentali del Risorgimento</w:t>
      </w:r>
      <w:r w:rsidRPr="00C53361">
        <w:t xml:space="preserve">: </w:t>
      </w:r>
      <w:proofErr w:type="spellStart"/>
      <w:r w:rsidRPr="00627317">
        <w:rPr>
          <w:b/>
          <w:i/>
        </w:rPr>
        <w:t>Curtatone</w:t>
      </w:r>
      <w:proofErr w:type="spellEnd"/>
      <w:r w:rsidRPr="00C53361">
        <w:t xml:space="preserve">, </w:t>
      </w:r>
      <w:r w:rsidRPr="00627317">
        <w:rPr>
          <w:b/>
          <w:i/>
        </w:rPr>
        <w:t>Palestro</w:t>
      </w:r>
      <w:r w:rsidRPr="00C53361">
        <w:t xml:space="preserve">, </w:t>
      </w:r>
      <w:r w:rsidRPr="00627317">
        <w:rPr>
          <w:b/>
          <w:i/>
        </w:rPr>
        <w:t>San</w:t>
      </w:r>
      <w:r w:rsidRPr="00C53361">
        <w:t xml:space="preserve"> </w:t>
      </w:r>
      <w:r w:rsidRPr="00627317">
        <w:rPr>
          <w:b/>
          <w:i/>
        </w:rPr>
        <w:t>Martino</w:t>
      </w:r>
      <w:r w:rsidRPr="00C53361">
        <w:t xml:space="preserve"> e </w:t>
      </w:r>
      <w:r w:rsidRPr="00627317">
        <w:rPr>
          <w:b/>
          <w:i/>
        </w:rPr>
        <w:t>Magenta</w:t>
      </w:r>
      <w:r w:rsidRPr="00C53361">
        <w:t xml:space="preserve">. Fattori decise di concorrere con un quadro sulla battaglia di Magenta e presentò alla Commissione giudicatrice due bozzetti. </w:t>
      </w:r>
      <w:r w:rsidRPr="00A770A6">
        <w:rPr>
          <w:i/>
          <w:u w:val="single"/>
        </w:rPr>
        <w:t>La commissione premiò Fattori con il primo premio e scelse il bozzetto dell’opera che poi Fattori realizzò</w:t>
      </w:r>
      <w:r w:rsidRPr="00C53361">
        <w:t>.</w:t>
      </w:r>
    </w:p>
    <w:p w:rsidR="00C53361" w:rsidRPr="00C53361" w:rsidRDefault="00C53361" w:rsidP="00C53361">
      <w:pPr>
        <w:ind w:left="708"/>
        <w:jc w:val="both"/>
      </w:pPr>
      <w:r w:rsidRPr="00C53361">
        <w:t xml:space="preserve">In questo quadro </w:t>
      </w:r>
      <w:r w:rsidRPr="0047549C">
        <w:rPr>
          <w:b/>
          <w:i/>
        </w:rPr>
        <w:t>non è il momento della battaglia a fungere da protagonista</w:t>
      </w:r>
      <w:r w:rsidRPr="00C53361">
        <w:t xml:space="preserve">, bensì il momento più umano quando i feriti vengono riportati nelle retrovie per essere assistiti dalle crocerossine. </w:t>
      </w:r>
    </w:p>
    <w:p w:rsidR="00627D5F" w:rsidRPr="007B0249" w:rsidRDefault="00C53361" w:rsidP="007B0249">
      <w:pPr>
        <w:ind w:left="708"/>
        <w:jc w:val="both"/>
      </w:pPr>
      <w:r w:rsidRPr="00C53361">
        <w:t xml:space="preserve">Per questo motivo il quadro ha una portata culturale notevole: </w:t>
      </w:r>
      <w:r w:rsidRPr="00006350">
        <w:rPr>
          <w:i/>
          <w:u w:val="single"/>
        </w:rPr>
        <w:t>non è l’idealistica esaltazione dei valori eroici ad essere rappresentati bensì la cruda realtà di una battaglia fatta soprattutto di morti e feriti</w:t>
      </w:r>
      <w:r w:rsidRPr="00C53361">
        <w:t>.</w:t>
      </w: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7B0249" w:rsidRDefault="007B0249" w:rsidP="007B0249">
      <w:pPr>
        <w:ind w:left="720"/>
        <w:jc w:val="both"/>
      </w:pPr>
      <w:r w:rsidRPr="007B0249">
        <w:t>Il quadro non ha ancora lo stile della "</w:t>
      </w:r>
      <w:r w:rsidRPr="00DF643F">
        <w:rPr>
          <w:b/>
          <w:i/>
        </w:rPr>
        <w:t>macchia</w:t>
      </w:r>
      <w:r w:rsidRPr="007B0249">
        <w:t xml:space="preserve">", ma si articola secondo un linguaggio ancora accademico fatto di </w:t>
      </w:r>
      <w:r w:rsidRPr="00DF643F">
        <w:rPr>
          <w:b/>
          <w:i/>
        </w:rPr>
        <w:t>disegno</w:t>
      </w:r>
      <w:r w:rsidRPr="007B0249">
        <w:t xml:space="preserve"> e </w:t>
      </w:r>
      <w:r w:rsidRPr="00DF643F">
        <w:rPr>
          <w:b/>
          <w:i/>
        </w:rPr>
        <w:t>chiaroscuro</w:t>
      </w:r>
      <w:r w:rsidRPr="007B0249">
        <w:t>.</w:t>
      </w:r>
    </w:p>
    <w:p w:rsidR="007B0249" w:rsidRDefault="007B0249" w:rsidP="007B0249">
      <w:pPr>
        <w:ind w:left="720"/>
        <w:jc w:val="both"/>
      </w:pPr>
      <w:r>
        <w:t xml:space="preserve">La </w:t>
      </w:r>
      <w:r w:rsidRPr="00DF643F">
        <w:rPr>
          <w:b/>
          <w:i/>
        </w:rPr>
        <w:t>composizione</w:t>
      </w:r>
      <w:r>
        <w:t xml:space="preserve"> è semplice ed equilibrata.</w:t>
      </w:r>
    </w:p>
    <w:p w:rsidR="007B0249" w:rsidRDefault="008E3882" w:rsidP="007B0249">
      <w:pPr>
        <w:ind w:left="720"/>
        <w:jc w:val="both"/>
      </w:pPr>
      <w:r>
        <w:t>L</w:t>
      </w:r>
      <w:r w:rsidR="007B0249">
        <w:t>a "</w:t>
      </w:r>
      <w:r w:rsidR="007B0249" w:rsidRPr="008E3882">
        <w:rPr>
          <w:b/>
          <w:i/>
        </w:rPr>
        <w:t>macchia</w:t>
      </w:r>
      <w:r w:rsidR="007B0249">
        <w:t xml:space="preserve">", nella tela di grandi dimensioni non riesce da sola a reggere schematicamente la composizione, perciò per dare unità e verità al quadro Fattori utilizza la modulazione del </w:t>
      </w:r>
      <w:r w:rsidR="007B0249" w:rsidRPr="008E3882">
        <w:rPr>
          <w:b/>
          <w:i/>
        </w:rPr>
        <w:t>chiaroscuro</w:t>
      </w:r>
      <w:r w:rsidR="007B0249">
        <w:t>.</w:t>
      </w:r>
    </w:p>
    <w:p w:rsidR="007B0249" w:rsidRDefault="007B0249" w:rsidP="007B0249">
      <w:pPr>
        <w:ind w:left="720"/>
        <w:jc w:val="both"/>
      </w:pPr>
      <w:r>
        <w:t xml:space="preserve">Si tratta di un </w:t>
      </w:r>
      <w:r w:rsidRPr="008E3882">
        <w:rPr>
          <w:b/>
          <w:i/>
        </w:rPr>
        <w:t>procedimento misto</w:t>
      </w:r>
      <w:r>
        <w:t xml:space="preserve">, in parte macchiaiolo in parte tradizionale, attraverso sia rigorosi contrasti entro larghi piani campiti a tinte unite, sia attraverso una </w:t>
      </w:r>
      <w:r w:rsidRPr="009365E0">
        <w:rPr>
          <w:b/>
          <w:i/>
        </w:rPr>
        <w:t>gradazione di grigi</w:t>
      </w:r>
      <w:r>
        <w:t>.</w:t>
      </w:r>
    </w:p>
    <w:p w:rsidR="007B0249" w:rsidRPr="007B0249" w:rsidRDefault="007B0249" w:rsidP="007B0249">
      <w:pPr>
        <w:ind w:left="720"/>
        <w:jc w:val="both"/>
      </w:pPr>
      <w:r w:rsidRPr="009365E0">
        <w:rPr>
          <w:i/>
          <w:u w:val="single"/>
        </w:rPr>
        <w:t>Così si fondono il nuovo spirito macchiaiolo e l'insegnamento accademico</w:t>
      </w:r>
      <w:r>
        <w:t>.</w:t>
      </w:r>
    </w:p>
    <w:p w:rsidR="004D71C9" w:rsidRPr="004D71C9" w:rsidRDefault="004D71C9" w:rsidP="004D71C9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36" w:rsidRDefault="006A5F36" w:rsidP="004C4712">
      <w:pPr>
        <w:spacing w:after="0" w:line="240" w:lineRule="auto"/>
      </w:pPr>
      <w:r>
        <w:separator/>
      </w:r>
    </w:p>
  </w:endnote>
  <w:endnote w:type="continuationSeparator" w:id="0">
    <w:p w:rsidR="006A5F36" w:rsidRDefault="006A5F36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741C2F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C074DD" w:rsidRPr="00C074DD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36" w:rsidRDefault="006A5F36" w:rsidP="004C4712">
      <w:pPr>
        <w:spacing w:after="0" w:line="240" w:lineRule="auto"/>
      </w:pPr>
      <w:r>
        <w:separator/>
      </w:r>
    </w:p>
  </w:footnote>
  <w:footnote w:type="continuationSeparator" w:id="0">
    <w:p w:rsidR="006A5F36" w:rsidRDefault="006A5F36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741C2F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A74983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figurative): G. Fattori – “La battaglia di Magenta”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741C2F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A74983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KL6FceADJAENWr1dL5IdRlzQ6O0=" w:salt="xU/O+AAKcMuK9TlJ/mE49A=="/>
  <w:defaultTabStop w:val="708"/>
  <w:hyphenationZone w:val="283"/>
  <w:characterSpacingControl w:val="doNotCompress"/>
  <w:hdrShapeDefaults>
    <o:shapedefaults v:ext="edit" spidmax="14338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06350"/>
    <w:rsid w:val="00042E52"/>
    <w:rsid w:val="00051CEF"/>
    <w:rsid w:val="00070459"/>
    <w:rsid w:val="000A637C"/>
    <w:rsid w:val="000C1972"/>
    <w:rsid w:val="00101FE8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9057E"/>
    <w:rsid w:val="002A6B72"/>
    <w:rsid w:val="002C3C2A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7549C"/>
    <w:rsid w:val="00485240"/>
    <w:rsid w:val="004C4712"/>
    <w:rsid w:val="004D71C9"/>
    <w:rsid w:val="00543828"/>
    <w:rsid w:val="0054655D"/>
    <w:rsid w:val="00551606"/>
    <w:rsid w:val="0055361D"/>
    <w:rsid w:val="00572D2A"/>
    <w:rsid w:val="005872B2"/>
    <w:rsid w:val="00597CE6"/>
    <w:rsid w:val="005F7332"/>
    <w:rsid w:val="00606FB6"/>
    <w:rsid w:val="00627317"/>
    <w:rsid w:val="00627D5F"/>
    <w:rsid w:val="006400FE"/>
    <w:rsid w:val="00645170"/>
    <w:rsid w:val="00664C39"/>
    <w:rsid w:val="0067191A"/>
    <w:rsid w:val="006871B4"/>
    <w:rsid w:val="006A5578"/>
    <w:rsid w:val="006A560C"/>
    <w:rsid w:val="006A5F36"/>
    <w:rsid w:val="006C53A2"/>
    <w:rsid w:val="006E1C96"/>
    <w:rsid w:val="006F3E64"/>
    <w:rsid w:val="006F470A"/>
    <w:rsid w:val="00717EE1"/>
    <w:rsid w:val="00733669"/>
    <w:rsid w:val="00734384"/>
    <w:rsid w:val="00736E5C"/>
    <w:rsid w:val="00741C2F"/>
    <w:rsid w:val="0077265B"/>
    <w:rsid w:val="007732DF"/>
    <w:rsid w:val="00785F50"/>
    <w:rsid w:val="007A11AA"/>
    <w:rsid w:val="007A7BFD"/>
    <w:rsid w:val="007B0249"/>
    <w:rsid w:val="007B45D2"/>
    <w:rsid w:val="007C7EDC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8E3882"/>
    <w:rsid w:val="00912B10"/>
    <w:rsid w:val="00917232"/>
    <w:rsid w:val="009365E0"/>
    <w:rsid w:val="00956073"/>
    <w:rsid w:val="00982AB1"/>
    <w:rsid w:val="00994F03"/>
    <w:rsid w:val="009A2156"/>
    <w:rsid w:val="009F6023"/>
    <w:rsid w:val="00A30AA8"/>
    <w:rsid w:val="00A51B4B"/>
    <w:rsid w:val="00A56129"/>
    <w:rsid w:val="00A66805"/>
    <w:rsid w:val="00A74983"/>
    <w:rsid w:val="00A770A6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D03AE"/>
    <w:rsid w:val="00BD5130"/>
    <w:rsid w:val="00BD74AE"/>
    <w:rsid w:val="00BE5F04"/>
    <w:rsid w:val="00C074DD"/>
    <w:rsid w:val="00C12464"/>
    <w:rsid w:val="00C53361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DF643F"/>
    <w:rsid w:val="00E8778B"/>
    <w:rsid w:val="00EB5B27"/>
    <w:rsid w:val="00EB7E6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52633"/>
    <w:rsid w:val="003F33AD"/>
    <w:rsid w:val="004E7D2A"/>
    <w:rsid w:val="005417E3"/>
    <w:rsid w:val="006E1930"/>
    <w:rsid w:val="0070016C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47BF93-8121-4328-AE6E-A200D5C2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2107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G. Fattori – “La battaglia di Magenta”</dc:title>
  <dc:creator>Giacomo</dc:creator>
  <cp:lastModifiedBy>Giacomo</cp:lastModifiedBy>
  <cp:revision>44</cp:revision>
  <dcterms:created xsi:type="dcterms:W3CDTF">2013-11-05T15:07:00Z</dcterms:created>
  <dcterms:modified xsi:type="dcterms:W3CDTF">2014-06-22T18:13:00Z</dcterms:modified>
</cp:coreProperties>
</file>