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52" w:rsidRPr="004C5E00" w:rsidRDefault="004C5E00" w:rsidP="004C5E00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187960</wp:posOffset>
            </wp:positionV>
            <wp:extent cx="6785610" cy="4516755"/>
            <wp:effectExtent l="19050" t="0" r="0" b="0"/>
            <wp:wrapSquare wrapText="bothSides"/>
            <wp:docPr id="1" name="Immagine 1" descr="C:\Users\Giacomo\Desktop\arteinlab-lavori in corso\letture visive Bozze\mosaici e basilica bizantina S Vitale\Ravenna_San_Vitale_Tod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arteinlab-lavori in corso\letture visive Bozze\mosaici e basilica bizantina S Vitale\Ravenna_San_Vitale_Todo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451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4C5E00" w:rsidRPr="0016366A">
        <w:rPr>
          <w:rFonts w:ascii="Calibri" w:eastAsia="Calibri" w:hAnsi="Calibri" w:cs="Times New Roman"/>
        </w:rPr>
        <w:t>artigiani mosaicisti anonimi</w:t>
      </w:r>
    </w:p>
    <w:p w:rsidR="00816003" w:rsidRPr="004C5E00" w:rsidRDefault="008D716A" w:rsidP="004C5E00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4C5E00" w:rsidRPr="0016366A">
        <w:rPr>
          <w:rFonts w:ascii="Calibri" w:eastAsia="Calibri" w:hAnsi="Calibri" w:cs="Times New Roman"/>
        </w:rPr>
        <w:t>547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4C5E00" w:rsidRPr="0016366A">
        <w:rPr>
          <w:rFonts w:ascii="Calibri" w:eastAsia="Calibri" w:hAnsi="Calibri" w:cs="Times New Roman"/>
        </w:rPr>
        <w:t>mosaico di tessere in pasta vitrea su muro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4C5E00" w:rsidRPr="0016366A">
        <w:rPr>
          <w:rFonts w:ascii="Calibri" w:eastAsia="Calibri" w:hAnsi="Calibri" w:cs="Times New Roman"/>
        </w:rPr>
        <w:t>grandi dimensioni</w:t>
      </w:r>
    </w:p>
    <w:p w:rsidR="00606FB6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4C5E00">
        <w:rPr>
          <w:rFonts w:ascii="Calibri" w:eastAsia="Calibri" w:hAnsi="Calibri" w:cs="Times New Roman"/>
        </w:rPr>
        <w:t>Ravenna – Basilica di San Vitale</w:t>
      </w:r>
    </w:p>
    <w:p w:rsidR="00627D5F" w:rsidRPr="00627D5F" w:rsidRDefault="00627D5F" w:rsidP="00627D5F">
      <w:pPr>
        <w:pStyle w:val="Paragrafoelenco"/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E727BC" w:rsidRPr="00E727BC" w:rsidRDefault="00E727BC" w:rsidP="00E727BC">
      <w:pPr>
        <w:ind w:left="708"/>
        <w:jc w:val="both"/>
      </w:pPr>
      <w:r w:rsidRPr="00E727BC">
        <w:t xml:space="preserve">La disposizione delle figure è la stessa dell'altro corteo. Queste due scene rappresentano le offerte imperiali alla città di Ravenna. Si tratta di </w:t>
      </w:r>
      <w:r w:rsidRPr="00577F00">
        <w:rPr>
          <w:i/>
          <w:u w:val="single"/>
        </w:rPr>
        <w:t>cerimonie simboliche</w:t>
      </w:r>
      <w:r w:rsidRPr="00E727BC">
        <w:t>, mai avvenute nella realtà.</w:t>
      </w:r>
    </w:p>
    <w:p w:rsidR="00E727BC" w:rsidRPr="00E727BC" w:rsidRDefault="00E727BC" w:rsidP="00E727BC">
      <w:pPr>
        <w:ind w:left="708"/>
        <w:jc w:val="both"/>
      </w:pPr>
      <w:r w:rsidRPr="00E727BC">
        <w:t>Questa scena è più vivace dell'altra perché i costumi femminili sono più variati nelle fogge e nei colori. L'imperatrice si riconosce perché è più alta, ha le vesti e gioielli più ricchi, ha l'aureola. In mano porta il calice d'oro per la messa</w:t>
      </w:r>
      <w:r w:rsidR="004B710F">
        <w:t>.</w:t>
      </w:r>
    </w:p>
    <w:p w:rsidR="00E727BC" w:rsidRPr="00E727BC" w:rsidRDefault="00E727BC" w:rsidP="00E727BC">
      <w:pPr>
        <w:ind w:left="708"/>
        <w:jc w:val="both"/>
      </w:pPr>
      <w:r w:rsidRPr="00E727BC">
        <w:t>Sull'orlo della veste si vede un ricamo con i re magi</w:t>
      </w:r>
      <w:r w:rsidRPr="007F6108">
        <w:rPr>
          <w:i/>
          <w:u w:val="single"/>
        </w:rPr>
        <w:t>: è un rinvio alla chiesa di Sant'Apollinare nuovo, dove si trova un mosaico con tema analogo a questo</w:t>
      </w:r>
      <w:r w:rsidRPr="00E727BC">
        <w:t>.</w:t>
      </w:r>
    </w:p>
    <w:p w:rsidR="00627D5F" w:rsidRPr="00C12B9A" w:rsidRDefault="00E727BC" w:rsidP="00C12B9A">
      <w:pPr>
        <w:ind w:left="708"/>
        <w:jc w:val="both"/>
      </w:pPr>
      <w:r w:rsidRPr="00E727BC">
        <w:lastRenderedPageBreak/>
        <w:t xml:space="preserve">Vicino a lei le due dame sono </w:t>
      </w:r>
      <w:r w:rsidRPr="004941ED">
        <w:rPr>
          <w:b/>
          <w:i/>
        </w:rPr>
        <w:t>Antonina</w:t>
      </w:r>
      <w:r w:rsidRPr="00E727BC">
        <w:t xml:space="preserve"> e </w:t>
      </w:r>
      <w:r w:rsidRPr="004941ED">
        <w:rPr>
          <w:b/>
          <w:i/>
        </w:rPr>
        <w:t>Giovannina</w:t>
      </w:r>
      <w:r w:rsidRPr="00E727BC">
        <w:t xml:space="preserve">, la moglie e la figlia di </w:t>
      </w:r>
      <w:r w:rsidRPr="004941ED">
        <w:rPr>
          <w:b/>
          <w:i/>
        </w:rPr>
        <w:t>Belisario</w:t>
      </w:r>
      <w:r w:rsidRPr="00E727BC">
        <w:t>.</w:t>
      </w:r>
      <w:r>
        <w:t xml:space="preserve"> </w:t>
      </w:r>
      <w:r w:rsidRPr="00E727BC">
        <w:t>Le altre dame che entrano in scena</w:t>
      </w:r>
      <w:r w:rsidR="007A7B69">
        <w:t xml:space="preserve"> e hanno tutte la stessa fisionomia,</w:t>
      </w:r>
      <w:r w:rsidRPr="00E727BC">
        <w:t xml:space="preserve"> sembrano essere molte e continuare anche oltre la tenda.</w:t>
      </w: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627D5F" w:rsidRDefault="00C12B9A" w:rsidP="00C12B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rebuchetMS"/>
        </w:rPr>
      </w:pPr>
      <w:r w:rsidRPr="00C12B9A">
        <w:rPr>
          <w:rFonts w:cs="TrebuchetMS"/>
        </w:rPr>
        <w:t>Mentre nel pannello raffigurante Giustiniano i personaggi veramente di rilievo sono due, qui invece, nel pannello raffigurante Teodora, c'è solo un personaggio che domina la scena: è quello dell</w:t>
      </w:r>
      <w:r w:rsidR="00F72FA2">
        <w:rPr>
          <w:rFonts w:cs="TrebuchetMS"/>
        </w:rPr>
        <w:t xml:space="preserve">'Imperatrice. </w:t>
      </w:r>
    </w:p>
    <w:p w:rsidR="00C12B9A" w:rsidRPr="00AF21F1" w:rsidRDefault="00AF21F1" w:rsidP="00AF21F1">
      <w:pPr>
        <w:ind w:left="720"/>
        <w:jc w:val="both"/>
      </w:pPr>
      <w:r w:rsidRPr="00A77204">
        <w:t>La divinizzazione, voluta da Giustiniano, delle due figure imperiali è sottolineata sia da attributi tipici del potere temporale: il manto porpora, la corona ed i gioielli imperiali, ma anche dalle a</w:t>
      </w:r>
      <w:r>
        <w:t>ureole che, oltre le corone, cir</w:t>
      </w:r>
      <w:r w:rsidRPr="00A77204">
        <w:t>condano le teste imperiali a sottolineare, appunto, il potere spirituale che l'imperatore aveva acquisito dopo lo s</w:t>
      </w:r>
      <w:r>
        <w:t>cisma con la Chiesa d'Occidente.</w:t>
      </w: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F72FA2" w:rsidRPr="00F72FA2" w:rsidRDefault="00F72FA2" w:rsidP="00F72FA2">
      <w:pPr>
        <w:ind w:left="720"/>
        <w:jc w:val="both"/>
      </w:pPr>
      <w:r w:rsidRPr="00F72FA2">
        <w:t xml:space="preserve">Le </w:t>
      </w:r>
      <w:r w:rsidRPr="00961669">
        <w:rPr>
          <w:b/>
          <w:i/>
        </w:rPr>
        <w:t>figure</w:t>
      </w:r>
      <w:r w:rsidRPr="00F72FA2">
        <w:t xml:space="preserve"> accentuano una </w:t>
      </w:r>
      <w:r w:rsidRPr="00961669">
        <w:rPr>
          <w:b/>
          <w:i/>
        </w:rPr>
        <w:t>bidimensionalità</w:t>
      </w:r>
      <w:r w:rsidRPr="00F72FA2">
        <w:t xml:space="preserve"> che caratterizza la pittura tutta di </w:t>
      </w:r>
      <w:r w:rsidRPr="00961669">
        <w:rPr>
          <w:b/>
          <w:i/>
        </w:rPr>
        <w:t>linee</w:t>
      </w:r>
      <w:r w:rsidRPr="00F72FA2">
        <w:t xml:space="preserve"> e </w:t>
      </w:r>
      <w:r w:rsidRPr="00961669">
        <w:rPr>
          <w:b/>
          <w:i/>
        </w:rPr>
        <w:t>luce</w:t>
      </w:r>
      <w:r w:rsidRPr="00F72FA2">
        <w:t xml:space="preserve"> dell'età giustinianea. Tendono alla </w:t>
      </w:r>
      <w:r w:rsidRPr="00961669">
        <w:rPr>
          <w:b/>
          <w:i/>
        </w:rPr>
        <w:t>stilizzazione</w:t>
      </w:r>
      <w:r w:rsidRPr="00F72FA2">
        <w:t xml:space="preserve"> e allo stereotipo astratto.</w:t>
      </w:r>
    </w:p>
    <w:p w:rsidR="00F72FA2" w:rsidRPr="00F72FA2" w:rsidRDefault="00F72FA2" w:rsidP="00F72FA2">
      <w:pPr>
        <w:ind w:left="720"/>
        <w:jc w:val="both"/>
      </w:pPr>
      <w:r w:rsidRPr="00F72FA2">
        <w:t xml:space="preserve">Non esiste </w:t>
      </w:r>
      <w:r w:rsidRPr="00961669">
        <w:rPr>
          <w:b/>
          <w:i/>
        </w:rPr>
        <w:t>prospettiva</w:t>
      </w:r>
      <w:r w:rsidRPr="00F72FA2">
        <w:t xml:space="preserve"> </w:t>
      </w:r>
      <w:r w:rsidRPr="00961669">
        <w:rPr>
          <w:b/>
          <w:i/>
        </w:rPr>
        <w:t>spaziale</w:t>
      </w:r>
      <w:r w:rsidRPr="00F72FA2">
        <w:t>, tanto che i vari personaggi sono su un unico piano, hanno gli orli delle vesti piatti e sembrano pestarsi i piedi l'un l'altro.</w:t>
      </w:r>
    </w:p>
    <w:p w:rsidR="00BC0E3A" w:rsidRPr="0066190A" w:rsidRDefault="00BC0E3A" w:rsidP="00BC0E3A">
      <w:pPr>
        <w:ind w:left="720"/>
        <w:jc w:val="both"/>
        <w:rPr>
          <w:rFonts w:ascii="Calibri" w:eastAsia="Calibri" w:hAnsi="Calibri" w:cs="Times New Roman"/>
        </w:rPr>
      </w:pPr>
      <w:r w:rsidRPr="0066190A">
        <w:rPr>
          <w:rFonts w:ascii="Calibri" w:eastAsia="Calibri" w:hAnsi="Calibri" w:cs="Times New Roman"/>
        </w:rPr>
        <w:t xml:space="preserve">La </w:t>
      </w:r>
      <w:r w:rsidRPr="00961669">
        <w:rPr>
          <w:rFonts w:ascii="Calibri" w:eastAsia="Calibri" w:hAnsi="Calibri" w:cs="Times New Roman"/>
          <w:b/>
          <w:i/>
        </w:rPr>
        <w:t>profondità</w:t>
      </w:r>
      <w:r w:rsidRPr="0066190A">
        <w:rPr>
          <w:rFonts w:ascii="Calibri" w:eastAsia="Calibri" w:hAnsi="Calibri" w:cs="Times New Roman"/>
        </w:rPr>
        <w:t xml:space="preserve"> è completamente eliminata, le figure sono immobili e prive di rilievo, sembrano sagome ritagliate. Le forme tendono alla geometria.</w:t>
      </w:r>
    </w:p>
    <w:p w:rsidR="00BC0E3A" w:rsidRDefault="00BC0E3A" w:rsidP="00BC0E3A">
      <w:pPr>
        <w:ind w:firstLine="708"/>
        <w:jc w:val="both"/>
        <w:rPr>
          <w:rFonts w:ascii="Calibri" w:eastAsia="Calibri" w:hAnsi="Calibri" w:cs="Times New Roman"/>
        </w:rPr>
      </w:pPr>
      <w:r w:rsidRPr="0066190A">
        <w:rPr>
          <w:rFonts w:ascii="Calibri" w:eastAsia="Calibri" w:hAnsi="Calibri" w:cs="Times New Roman"/>
        </w:rPr>
        <w:t xml:space="preserve">Non c'è una narrazione, non c'è una storia, è </w:t>
      </w:r>
      <w:r w:rsidRPr="00961669">
        <w:rPr>
          <w:rFonts w:ascii="Calibri" w:eastAsia="Calibri" w:hAnsi="Calibri" w:cs="Times New Roman"/>
          <w:i/>
          <w:u w:val="single"/>
        </w:rPr>
        <w:t>una scena celebrativa</w:t>
      </w:r>
      <w:r w:rsidRPr="0066190A">
        <w:rPr>
          <w:rFonts w:ascii="Calibri" w:eastAsia="Calibri" w:hAnsi="Calibri" w:cs="Times New Roman"/>
        </w:rPr>
        <w:t>, una cerimonia tutta simbolica.</w:t>
      </w:r>
    </w:p>
    <w:p w:rsidR="00F72FA2" w:rsidRPr="0066190A" w:rsidRDefault="00F72FA2" w:rsidP="00F72FA2">
      <w:pPr>
        <w:ind w:left="708"/>
        <w:jc w:val="both"/>
        <w:rPr>
          <w:rFonts w:ascii="Calibri" w:eastAsia="Calibri" w:hAnsi="Calibri" w:cs="Times New Roman"/>
        </w:rPr>
      </w:pPr>
      <w:r>
        <w:rPr>
          <w:rFonts w:cs="TrebuchetMS"/>
        </w:rPr>
        <w:t>T</w:t>
      </w:r>
      <w:r w:rsidRPr="00C12B9A">
        <w:rPr>
          <w:rFonts w:cs="TrebuchetMS"/>
        </w:rPr>
        <w:t xml:space="preserve">utte le figure, ormai prive d'ogni materialità corporea, non abbiano qui altro valore che quello di ritmi di linee e di ritornanti cadenze d'uno spartito musicale e come il </w:t>
      </w:r>
      <w:r w:rsidRPr="00971E52">
        <w:rPr>
          <w:rFonts w:cs="TrebuchetMS"/>
          <w:b/>
          <w:i/>
        </w:rPr>
        <w:t>colore</w:t>
      </w:r>
      <w:r w:rsidRPr="00C12B9A">
        <w:rPr>
          <w:rFonts w:cs="TrebuchetMS"/>
        </w:rPr>
        <w:t xml:space="preserve"> trovi la più squillante esaltazione nello stesso preziosismo degli smalti e delle madreperle, che creano un gioco che si avvale di mille luci e di mille riflessi.</w:t>
      </w:r>
    </w:p>
    <w:p w:rsidR="00BC0E3A" w:rsidRDefault="00BC0E3A" w:rsidP="00BC0E3A">
      <w:pPr>
        <w:ind w:left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La </w:t>
      </w:r>
      <w:r w:rsidRPr="00BC0E3A">
        <w:rPr>
          <w:rFonts w:ascii="Calibri" w:eastAsia="Calibri" w:hAnsi="Calibri" w:cs="Times New Roman"/>
          <w:b/>
          <w:i/>
        </w:rPr>
        <w:t>tecnica pittorica del mosaico</w:t>
      </w:r>
      <w:r>
        <w:rPr>
          <w:rFonts w:ascii="Calibri" w:eastAsia="Calibri" w:hAnsi="Calibri" w:cs="Times New Roman"/>
        </w:rPr>
        <w:t xml:space="preserve"> consiste nell'assemblare frammenti di vetro, pietre e altro materiale, in gergo tecnico definiti tessere, di colore e natura diversi, e decorati con pigmenti, pietre preziose e oro.</w:t>
      </w:r>
    </w:p>
    <w:p w:rsidR="00A97E81" w:rsidRDefault="00BC0E3A" w:rsidP="00B17FC6">
      <w:pPr>
        <w:ind w:left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Nell'arte bizantina Esso come già detto veniva impiegato come elemento tipico caratterizzante della sua manifestazione, ma il motivo del suo impiego che va al di la della tecnica, è da ricercarsi nei simbolismi cristiani.</w:t>
      </w:r>
    </w:p>
    <w:p w:rsidR="00BC0E3A" w:rsidRPr="00BC0E3A" w:rsidRDefault="00BC0E3A" w:rsidP="00BC0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rebuchetMS"/>
        </w:rPr>
      </w:pPr>
      <w:r w:rsidRPr="00BC0E3A">
        <w:rPr>
          <w:rFonts w:ascii="Calibri" w:eastAsia="Calibri" w:hAnsi="Calibri" w:cs="TrebuchetMS"/>
          <w:b/>
          <w:i/>
        </w:rPr>
        <w:t>Significato simbolico dei mosaici bizantini</w:t>
      </w:r>
      <w:r w:rsidRPr="00BC0E3A">
        <w:rPr>
          <w:rFonts w:ascii="Calibri" w:eastAsia="Calibri" w:hAnsi="Calibri" w:cs="TrebuchetMS"/>
        </w:rPr>
        <w:t>.</w:t>
      </w:r>
    </w:p>
    <w:p w:rsidR="00BC0E3A" w:rsidRPr="00BC0E3A" w:rsidRDefault="00BC0E3A" w:rsidP="00BC0E3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rebuchetMS"/>
        </w:rPr>
      </w:pPr>
    </w:p>
    <w:p w:rsidR="00A97E81" w:rsidRPr="00B17FC6" w:rsidRDefault="00BC0E3A" w:rsidP="00B17FC6">
      <w:pPr>
        <w:ind w:left="7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L'architettura religiosa cristiana era </w:t>
      </w:r>
      <w:r w:rsidRPr="00BC0E3A">
        <w:rPr>
          <w:rFonts w:ascii="Calibri" w:eastAsia="Calibri" w:hAnsi="Calibri" w:cs="Times New Roman"/>
          <w:i/>
        </w:rPr>
        <w:t>libera da qualsiasi fasto ornamento</w:t>
      </w:r>
      <w:r>
        <w:rPr>
          <w:rFonts w:ascii="Calibri" w:eastAsia="Calibri" w:hAnsi="Calibri" w:cs="Times New Roman"/>
        </w:rPr>
        <w:t xml:space="preserve">, da tutto ciò </w:t>
      </w:r>
      <w:r w:rsidRPr="00BC0E3A">
        <w:rPr>
          <w:rFonts w:ascii="Calibri" w:eastAsia="Calibri" w:hAnsi="Calibri" w:cs="Times New Roman"/>
          <w:i/>
        </w:rPr>
        <w:t>che distraeva dal pensiero di Dio</w:t>
      </w:r>
      <w:r>
        <w:rPr>
          <w:rFonts w:ascii="Calibri" w:eastAsia="Calibri" w:hAnsi="Calibri" w:cs="Times New Roman"/>
        </w:rPr>
        <w:t>, di conseguenza le chiese erano anche buie all'interno, malgrado la luce filtrasse dai finestroni, essa non era abbastanza per illuminare l'intero complesso, (</w:t>
      </w:r>
      <w:r w:rsidRPr="00BC0E3A">
        <w:rPr>
          <w:rFonts w:ascii="Calibri" w:eastAsia="Calibri" w:hAnsi="Calibri" w:cs="Times New Roman"/>
          <w:i/>
          <w:u w:val="single"/>
        </w:rPr>
        <w:t>la penombra nelle basiliche nel simbolismo cristiano, indica il peccato e nello stesso tempo il silenzio meditativo</w:t>
      </w:r>
      <w:r>
        <w:rPr>
          <w:rFonts w:ascii="Calibri" w:eastAsia="Calibri" w:hAnsi="Calibri" w:cs="Times New Roman"/>
        </w:rPr>
        <w:t xml:space="preserve">), e qui entrano in gioco i fastosi mosaici con oro e gemme. </w:t>
      </w:r>
      <w:r w:rsidRPr="00BC0E3A">
        <w:rPr>
          <w:rFonts w:ascii="Calibri" w:eastAsia="Calibri" w:hAnsi="Calibri" w:cs="Times New Roman"/>
          <w:i/>
        </w:rPr>
        <w:t>Appena i raggi solari penetrando dalle finestre colpivano i mosaici</w:t>
      </w:r>
      <w:r>
        <w:rPr>
          <w:rFonts w:ascii="Calibri" w:eastAsia="Calibri" w:hAnsi="Calibri" w:cs="Times New Roman"/>
        </w:rPr>
        <w:t xml:space="preserve">, </w:t>
      </w:r>
      <w:r w:rsidRPr="00BC0E3A">
        <w:rPr>
          <w:rFonts w:ascii="Calibri" w:eastAsia="Calibri" w:hAnsi="Calibri" w:cs="Times New Roman"/>
          <w:i/>
        </w:rPr>
        <w:t>da essi partiva un'irradiazione che illuminava la navata</w:t>
      </w:r>
      <w:r>
        <w:rPr>
          <w:rFonts w:ascii="Calibri" w:eastAsia="Calibri" w:hAnsi="Calibri" w:cs="Times New Roman"/>
        </w:rPr>
        <w:t xml:space="preserve"> è un trucco estetico, ma </w:t>
      </w:r>
      <w:r w:rsidRPr="00BC0E3A">
        <w:rPr>
          <w:rFonts w:ascii="Calibri" w:eastAsia="Calibri" w:hAnsi="Calibri" w:cs="Times New Roman"/>
          <w:i/>
        </w:rPr>
        <w:t>sopratutto rappresenta la metafora della vita umana</w:t>
      </w:r>
      <w:r>
        <w:rPr>
          <w:rFonts w:ascii="Calibri" w:eastAsia="Calibri" w:hAnsi="Calibri" w:cs="Times New Roman"/>
        </w:rPr>
        <w:t xml:space="preserve">: </w:t>
      </w:r>
      <w:r w:rsidRPr="00BC0E3A">
        <w:rPr>
          <w:rFonts w:ascii="Calibri" w:eastAsia="Calibri" w:hAnsi="Calibri" w:cs="Times New Roman"/>
          <w:i/>
          <w:u w:val="single"/>
        </w:rPr>
        <w:t xml:space="preserve">entrati nella chiesa, con il peso dei peccati (la penombra), i cristiani vanno alla ricerca della salvezza, della verità, della luce(l'illuminazione dei </w:t>
      </w:r>
      <w:r w:rsidRPr="00BC0E3A">
        <w:rPr>
          <w:rFonts w:ascii="Calibri" w:eastAsia="Calibri" w:hAnsi="Calibri" w:cs="Times New Roman"/>
          <w:i/>
          <w:u w:val="single"/>
        </w:rPr>
        <w:lastRenderedPageBreak/>
        <w:t>mosaici) che</w:t>
      </w:r>
      <w:r w:rsidR="00B17FC6">
        <w:rPr>
          <w:rFonts w:ascii="Calibri" w:eastAsia="Calibri" w:hAnsi="Calibri" w:cs="Times New Roman"/>
          <w:i/>
          <w:u w:val="single"/>
        </w:rPr>
        <w:t xml:space="preserve"> arriva </w:t>
      </w:r>
      <w:r w:rsidRPr="00BC0E3A">
        <w:rPr>
          <w:rFonts w:ascii="Calibri" w:eastAsia="Calibri" w:hAnsi="Calibri" w:cs="Times New Roman"/>
          <w:i/>
          <w:u w:val="single"/>
        </w:rPr>
        <w:t>improvvisamente come azione salvifica irradiando della luce di Cristo colui che vuole la salvezza</w:t>
      </w:r>
      <w:r>
        <w:rPr>
          <w:rFonts w:ascii="Calibri" w:eastAsia="Calibri" w:hAnsi="Calibri" w:cs="Times New Roman"/>
        </w:rPr>
        <w:t xml:space="preserve"> </w:t>
      </w:r>
      <w:r w:rsidRPr="00BC0E3A">
        <w:rPr>
          <w:rFonts w:ascii="Calibri" w:eastAsia="Calibri" w:hAnsi="Calibri" w:cs="Times New Roman"/>
          <w:i/>
          <w:u w:val="single"/>
        </w:rPr>
        <w:t>dell'anima</w:t>
      </w:r>
      <w:r>
        <w:rPr>
          <w:rFonts w:ascii="Calibri" w:eastAsia="Calibri" w:hAnsi="Calibri" w:cs="Times New Roman"/>
        </w:rPr>
        <w:t>.</w:t>
      </w:r>
    </w:p>
    <w:p w:rsidR="002C04AB" w:rsidRPr="00EF00FC" w:rsidRDefault="002C04AB" w:rsidP="002C04AB">
      <w:pPr>
        <w:tabs>
          <w:tab w:val="left" w:pos="919"/>
        </w:tabs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i/>
        </w:rPr>
        <w:t xml:space="preserve">              TECNICA MUSIVA</w:t>
      </w:r>
      <w:r>
        <w:rPr>
          <w:rFonts w:ascii="Calibri" w:eastAsia="Calibri" w:hAnsi="Calibri" w:cs="Times New Roman"/>
        </w:rPr>
        <w:t>:</w:t>
      </w:r>
    </w:p>
    <w:p w:rsidR="002C04AB" w:rsidRDefault="002C04AB" w:rsidP="00A97E81">
      <w:pPr>
        <w:tabs>
          <w:tab w:val="left" w:pos="919"/>
        </w:tabs>
        <w:ind w:left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Consiste nell'allettamento diretto di tessere su malta fresca (lavorabile). La </w:t>
      </w:r>
      <w:r>
        <w:rPr>
          <w:rFonts w:ascii="Calibri" w:eastAsia="Calibri" w:hAnsi="Calibri" w:cs="Times New Roman"/>
          <w:b/>
          <w:i/>
        </w:rPr>
        <w:t>malta</w:t>
      </w:r>
      <w:r>
        <w:rPr>
          <w:rFonts w:ascii="Calibri" w:eastAsia="Calibri" w:hAnsi="Calibri" w:cs="Times New Roman"/>
        </w:rPr>
        <w:t>, in antico composta da un legante (</w:t>
      </w:r>
      <w:r>
        <w:rPr>
          <w:rFonts w:ascii="Calibri" w:eastAsia="Calibri" w:hAnsi="Calibri" w:cs="Times New Roman"/>
          <w:i/>
        </w:rPr>
        <w:t>idrossido di calcio</w:t>
      </w:r>
      <w:r>
        <w:rPr>
          <w:rFonts w:ascii="Calibri" w:eastAsia="Calibri" w:hAnsi="Calibri" w:cs="Times New Roman"/>
        </w:rPr>
        <w:t xml:space="preserve">), </w:t>
      </w:r>
      <w:r>
        <w:rPr>
          <w:rFonts w:ascii="Calibri" w:eastAsia="Calibri" w:hAnsi="Calibri" w:cs="Times New Roman"/>
          <w:i/>
        </w:rPr>
        <w:t>grassello</w:t>
      </w:r>
      <w:r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  <w:i/>
        </w:rPr>
        <w:t>calce spenta</w:t>
      </w:r>
      <w:r>
        <w:rPr>
          <w:rFonts w:ascii="Calibri" w:eastAsia="Calibri" w:hAnsi="Calibri" w:cs="Times New Roman"/>
        </w:rPr>
        <w:t xml:space="preserve"> e da </w:t>
      </w:r>
      <w:r>
        <w:rPr>
          <w:rFonts w:ascii="Calibri" w:eastAsia="Calibri" w:hAnsi="Calibri" w:cs="Times New Roman"/>
          <w:i/>
        </w:rPr>
        <w:t>aggregati</w:t>
      </w:r>
      <w:r>
        <w:rPr>
          <w:rFonts w:ascii="Calibri" w:eastAsia="Calibri" w:hAnsi="Calibri" w:cs="Times New Roman"/>
        </w:rPr>
        <w:t xml:space="preserve"> (sabbia, polvere di marmo, biscotto) viene oggi sostituita o da </w:t>
      </w:r>
      <w:r>
        <w:rPr>
          <w:rFonts w:ascii="Calibri" w:eastAsia="Calibri" w:hAnsi="Calibri" w:cs="Times New Roman"/>
          <w:i/>
        </w:rPr>
        <w:t>malte</w:t>
      </w:r>
      <w:r>
        <w:rPr>
          <w:rFonts w:ascii="Calibri" w:eastAsia="Calibri" w:hAnsi="Calibri" w:cs="Times New Roman"/>
        </w:rPr>
        <w:t xml:space="preserve"> "</w:t>
      </w:r>
      <w:r>
        <w:rPr>
          <w:rFonts w:ascii="Calibri" w:eastAsia="Calibri" w:hAnsi="Calibri" w:cs="Times New Roman"/>
          <w:i/>
        </w:rPr>
        <w:t>bastarde</w:t>
      </w:r>
      <w:r>
        <w:rPr>
          <w:rFonts w:ascii="Calibri" w:eastAsia="Calibri" w:hAnsi="Calibri" w:cs="Times New Roman"/>
        </w:rPr>
        <w:t xml:space="preserve">" (idrossido di calcio e cemento) o da </w:t>
      </w:r>
      <w:r>
        <w:rPr>
          <w:rFonts w:ascii="Calibri" w:eastAsia="Calibri" w:hAnsi="Calibri" w:cs="Times New Roman"/>
          <w:i/>
        </w:rPr>
        <w:t>adesivi complessi</w:t>
      </w:r>
      <w:r>
        <w:rPr>
          <w:rFonts w:ascii="Calibri" w:eastAsia="Calibri" w:hAnsi="Calibri" w:cs="Times New Roman"/>
        </w:rPr>
        <w:t xml:space="preserve"> (cementi prescelti) pronti all'uso con la sola aggiunta di acqua o apposite soluzioni.</w:t>
      </w:r>
      <w:r w:rsidR="00A97E8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Le </w:t>
      </w:r>
      <w:r>
        <w:rPr>
          <w:rFonts w:ascii="Calibri" w:eastAsia="Calibri" w:hAnsi="Calibri" w:cs="Times New Roman"/>
          <w:b/>
          <w:i/>
        </w:rPr>
        <w:t>tessere</w:t>
      </w:r>
      <w:r>
        <w:rPr>
          <w:rFonts w:ascii="Calibri" w:eastAsia="Calibri" w:hAnsi="Calibri" w:cs="Times New Roman"/>
        </w:rPr>
        <w:t>, rigorosamente tagliate a mano con martellina e tagliolo, sono di forma irregolare, tendenti a poligoni quadrangolari e ricavate da pietre naturali: marmi, ciottoli o da materiali artificiali, smalti, paste vitree, ori, argenti.</w:t>
      </w:r>
    </w:p>
    <w:p w:rsidR="002C04AB" w:rsidRDefault="002C04AB" w:rsidP="002C04AB">
      <w:pPr>
        <w:tabs>
          <w:tab w:val="left" w:pos="919"/>
        </w:tabs>
        <w:ind w:left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u w:val="single"/>
        </w:rPr>
        <w:t>Il metodo diretto risulta essere ancora il migliore poiché il mosaicista ha il controllo diretto degli effetti di luce, variando l'angolo di inclinazione delle tessere</w:t>
      </w:r>
      <w:r>
        <w:rPr>
          <w:rFonts w:ascii="Calibri" w:eastAsia="Calibri" w:hAnsi="Calibri" w:cs="Times New Roman"/>
        </w:rPr>
        <w:t>.</w:t>
      </w:r>
    </w:p>
    <w:p w:rsidR="002C04AB" w:rsidRPr="00ED67AB" w:rsidRDefault="002C04AB" w:rsidP="00BC0E3A">
      <w:pPr>
        <w:ind w:left="720"/>
        <w:jc w:val="both"/>
        <w:rPr>
          <w:rFonts w:ascii="Calibri" w:eastAsia="Calibri" w:hAnsi="Calibri" w:cs="Times New Roman"/>
        </w:rPr>
      </w:pPr>
    </w:p>
    <w:p w:rsidR="00BC0E3A" w:rsidRDefault="00B17FC6" w:rsidP="00BC0E3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461645</wp:posOffset>
            </wp:positionH>
            <wp:positionV relativeFrom="margin">
              <wp:posOffset>3234690</wp:posOffset>
            </wp:positionV>
            <wp:extent cx="5586095" cy="4273550"/>
            <wp:effectExtent l="19050" t="0" r="0" b="0"/>
            <wp:wrapSquare wrapText="bothSides"/>
            <wp:docPr id="2" name="Immagine 2" descr="C:\Users\Giacomo\Desktop\arteinlab-lavori in corso\letture visive Bozze\mosaici e basilica bizantina S Vitale\25  MOSAICO TEC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acomo\Desktop\arteinlab-lavori in corso\letture visive Bozze\mosaici e basilica bizantina S Vitale\25  MOSAICO TECNIC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95" cy="427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E3A" w:rsidRPr="004D71C9" w:rsidRDefault="00BC0E3A" w:rsidP="00BC0E3A">
      <w:pPr>
        <w:ind w:left="720"/>
        <w:jc w:val="both"/>
      </w:pP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BA5" w:rsidRDefault="00855BA5" w:rsidP="004C4712">
      <w:pPr>
        <w:spacing w:after="0" w:line="240" w:lineRule="auto"/>
      </w:pPr>
      <w:r>
        <w:separator/>
      </w:r>
    </w:p>
  </w:endnote>
  <w:endnote w:type="continuationSeparator" w:id="0">
    <w:p w:rsidR="00855BA5" w:rsidRDefault="00855BA5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376EAF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Donadio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2C6C5A" w:rsidRPr="002C6C5A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BA5" w:rsidRDefault="00855BA5" w:rsidP="004C4712">
      <w:pPr>
        <w:spacing w:after="0" w:line="240" w:lineRule="auto"/>
      </w:pPr>
      <w:r>
        <w:separator/>
      </w:r>
    </w:p>
  </w:footnote>
  <w:footnote w:type="continuationSeparator" w:id="0">
    <w:p w:rsidR="00855BA5" w:rsidRDefault="00855BA5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376EAF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17338A">
                        <w:rPr>
                          <w:color w:val="FFFFFF" w:themeColor="background1"/>
                          <w:sz w:val="28"/>
                          <w:szCs w:val="28"/>
                        </w:rPr>
                        <w:t>a (arti figurative): “Il corteo di Teodora” in San Vitale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376EAF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r w:rsidR="0017338A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/>
  <w:documentProtection w:edit="readOnly" w:enforcement="1" w:cryptProviderType="rsaFull" w:cryptAlgorithmClass="hash" w:cryptAlgorithmType="typeAny" w:cryptAlgorithmSid="4" w:cryptSpinCount="100000" w:hash="3Jk1vWK7/arnuIvZb/CQs2CvQLA=" w:salt="ocGGWlcxf5JO4fX2TV7p9Q=="/>
  <w:defaultTabStop w:val="708"/>
  <w:hyphenationZone w:val="283"/>
  <w:characterSpacingControl w:val="doNotCompress"/>
  <w:hdrShapeDefaults>
    <o:shapedefaults v:ext="edit" spidmax="16386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70459"/>
    <w:rsid w:val="000A637C"/>
    <w:rsid w:val="000C1972"/>
    <w:rsid w:val="00101FE8"/>
    <w:rsid w:val="0013067C"/>
    <w:rsid w:val="0016228B"/>
    <w:rsid w:val="00171B53"/>
    <w:rsid w:val="0017338A"/>
    <w:rsid w:val="001C32C3"/>
    <w:rsid w:val="001E40E0"/>
    <w:rsid w:val="00203929"/>
    <w:rsid w:val="002065E7"/>
    <w:rsid w:val="00252EF0"/>
    <w:rsid w:val="00271D37"/>
    <w:rsid w:val="0029057E"/>
    <w:rsid w:val="002C04AB"/>
    <w:rsid w:val="002C3C2A"/>
    <w:rsid w:val="002C6C5A"/>
    <w:rsid w:val="00311A0D"/>
    <w:rsid w:val="00311E98"/>
    <w:rsid w:val="00330B14"/>
    <w:rsid w:val="00376EAF"/>
    <w:rsid w:val="00390B35"/>
    <w:rsid w:val="00396E4B"/>
    <w:rsid w:val="003A47FD"/>
    <w:rsid w:val="003C1EFB"/>
    <w:rsid w:val="003D1B37"/>
    <w:rsid w:val="003D5FCA"/>
    <w:rsid w:val="003D6135"/>
    <w:rsid w:val="003E68F8"/>
    <w:rsid w:val="004636FA"/>
    <w:rsid w:val="00485240"/>
    <w:rsid w:val="004941ED"/>
    <w:rsid w:val="004B710F"/>
    <w:rsid w:val="004C4712"/>
    <w:rsid w:val="004C5E00"/>
    <w:rsid w:val="004D71C9"/>
    <w:rsid w:val="00543828"/>
    <w:rsid w:val="0054655D"/>
    <w:rsid w:val="00551606"/>
    <w:rsid w:val="0055361D"/>
    <w:rsid w:val="00572D2A"/>
    <w:rsid w:val="00577F00"/>
    <w:rsid w:val="005872B2"/>
    <w:rsid w:val="00597CE6"/>
    <w:rsid w:val="005F7332"/>
    <w:rsid w:val="00606FB6"/>
    <w:rsid w:val="00627D5F"/>
    <w:rsid w:val="006400FE"/>
    <w:rsid w:val="00645170"/>
    <w:rsid w:val="00664C39"/>
    <w:rsid w:val="0067191A"/>
    <w:rsid w:val="006871B4"/>
    <w:rsid w:val="006A5578"/>
    <w:rsid w:val="006A560C"/>
    <w:rsid w:val="006C53A2"/>
    <w:rsid w:val="006E1C96"/>
    <w:rsid w:val="006F3E64"/>
    <w:rsid w:val="006F470A"/>
    <w:rsid w:val="00717EE1"/>
    <w:rsid w:val="00733669"/>
    <w:rsid w:val="00734384"/>
    <w:rsid w:val="00736E5C"/>
    <w:rsid w:val="0077265B"/>
    <w:rsid w:val="007732DF"/>
    <w:rsid w:val="00785F50"/>
    <w:rsid w:val="007A11AA"/>
    <w:rsid w:val="007A7B69"/>
    <w:rsid w:val="007A7BFD"/>
    <w:rsid w:val="007B45D2"/>
    <w:rsid w:val="007D3D22"/>
    <w:rsid w:val="007F6047"/>
    <w:rsid w:val="007F6108"/>
    <w:rsid w:val="00816003"/>
    <w:rsid w:val="008339A9"/>
    <w:rsid w:val="00836FA0"/>
    <w:rsid w:val="008466E8"/>
    <w:rsid w:val="00855BA5"/>
    <w:rsid w:val="00861A2B"/>
    <w:rsid w:val="008941EE"/>
    <w:rsid w:val="008A1DC4"/>
    <w:rsid w:val="008A4441"/>
    <w:rsid w:val="008B01A3"/>
    <w:rsid w:val="008B57F1"/>
    <w:rsid w:val="008D716A"/>
    <w:rsid w:val="00912B10"/>
    <w:rsid w:val="00917232"/>
    <w:rsid w:val="00956073"/>
    <w:rsid w:val="00961669"/>
    <w:rsid w:val="00971E52"/>
    <w:rsid w:val="00982AB1"/>
    <w:rsid w:val="00994F03"/>
    <w:rsid w:val="009A2156"/>
    <w:rsid w:val="009B6656"/>
    <w:rsid w:val="009F6023"/>
    <w:rsid w:val="00A30AA8"/>
    <w:rsid w:val="00A51B4B"/>
    <w:rsid w:val="00A56129"/>
    <w:rsid w:val="00A66805"/>
    <w:rsid w:val="00A97E81"/>
    <w:rsid w:val="00AA7A70"/>
    <w:rsid w:val="00AB1BA0"/>
    <w:rsid w:val="00AD0B3A"/>
    <w:rsid w:val="00AD223D"/>
    <w:rsid w:val="00AF21F1"/>
    <w:rsid w:val="00B1381E"/>
    <w:rsid w:val="00B17927"/>
    <w:rsid w:val="00B17FC6"/>
    <w:rsid w:val="00B308DE"/>
    <w:rsid w:val="00B43560"/>
    <w:rsid w:val="00B75585"/>
    <w:rsid w:val="00B80E5F"/>
    <w:rsid w:val="00BC0E3A"/>
    <w:rsid w:val="00BD03AE"/>
    <w:rsid w:val="00BD5130"/>
    <w:rsid w:val="00BD74AE"/>
    <w:rsid w:val="00BE5F04"/>
    <w:rsid w:val="00C12464"/>
    <w:rsid w:val="00C12B9A"/>
    <w:rsid w:val="00C63868"/>
    <w:rsid w:val="00C814FD"/>
    <w:rsid w:val="00C92AD7"/>
    <w:rsid w:val="00CB7230"/>
    <w:rsid w:val="00D03E1D"/>
    <w:rsid w:val="00D93635"/>
    <w:rsid w:val="00D9509A"/>
    <w:rsid w:val="00DC1D4F"/>
    <w:rsid w:val="00DD10B8"/>
    <w:rsid w:val="00DD4167"/>
    <w:rsid w:val="00DE365D"/>
    <w:rsid w:val="00DF2840"/>
    <w:rsid w:val="00E727BC"/>
    <w:rsid w:val="00E8778B"/>
    <w:rsid w:val="00EB5B27"/>
    <w:rsid w:val="00EB7E6C"/>
    <w:rsid w:val="00F21678"/>
    <w:rsid w:val="00F24BC8"/>
    <w:rsid w:val="00F5426E"/>
    <w:rsid w:val="00F72FA2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F33AD"/>
    <w:rsid w:val="004E7D2A"/>
    <w:rsid w:val="005417E3"/>
    <w:rsid w:val="006E1930"/>
    <w:rsid w:val="0070016C"/>
    <w:rsid w:val="007B237A"/>
    <w:rsid w:val="00852176"/>
    <w:rsid w:val="008F1592"/>
    <w:rsid w:val="00B2540E"/>
    <w:rsid w:val="00B7667B"/>
    <w:rsid w:val="00B8023F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3BB500-DA9B-42A1-B272-505BE4C6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761</Words>
  <Characters>4338</Characters>
  <Application>Microsoft Office Word</Application>
  <DocSecurity>8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 “Il corteo di Teodora” in San Vitale</dc:title>
  <dc:creator>Giacomo</dc:creator>
  <cp:lastModifiedBy>Giacomo</cp:lastModifiedBy>
  <cp:revision>50</cp:revision>
  <dcterms:created xsi:type="dcterms:W3CDTF">2013-11-05T15:07:00Z</dcterms:created>
  <dcterms:modified xsi:type="dcterms:W3CDTF">2014-07-13T04:12:00Z</dcterms:modified>
</cp:coreProperties>
</file>