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52" w:rsidRPr="00DE63AA" w:rsidRDefault="00DE63AA" w:rsidP="00DE63AA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203200</wp:posOffset>
            </wp:positionV>
            <wp:extent cx="6584950" cy="4603115"/>
            <wp:effectExtent l="19050" t="0" r="6350" b="0"/>
            <wp:wrapSquare wrapText="bothSides"/>
            <wp:docPr id="1" name="Immagine 1" descr="C:\Users\Giacomo\Desktop\mondrian\albero rosso 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mondrian\albero rosso 1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4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DE63AA">
        <w:t>“L’albero rosso” o “Crepuscolo”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DE63AA">
        <w:t>Piet Mondrian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DE63AA">
        <w:t>1908-1910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DE63AA">
        <w:t>olio su tela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DE63AA">
        <w:t>79,3 x 108,4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DE63AA">
        <w:t>L’Aia, Gemeentemuseum Den Haag</w:t>
      </w: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B42387" w:rsidRDefault="00B42387" w:rsidP="00B42387">
      <w:pPr>
        <w:ind w:left="720"/>
        <w:jc w:val="both"/>
      </w:pPr>
      <w:r w:rsidRPr="00B42387">
        <w:t xml:space="preserve">L’albero rosso ha una forma mossa, con linee curve ma nervose. I colori derivano da quelli dei </w:t>
      </w:r>
      <w:r>
        <w:rPr>
          <w:b/>
          <w:i/>
        </w:rPr>
        <w:t>F</w:t>
      </w:r>
      <w:r w:rsidRPr="00B42387">
        <w:rPr>
          <w:b/>
          <w:i/>
        </w:rPr>
        <w:t>auves</w:t>
      </w:r>
      <w:r>
        <w:t xml:space="preserve">, </w:t>
      </w:r>
      <w:r w:rsidR="00F328A8">
        <w:t>accesi ed irreali (cielo e terra</w:t>
      </w:r>
      <w:r>
        <w:t xml:space="preserve"> sono ugualmente blu, rossi, viola), stesi a grandi tratti</w:t>
      </w:r>
      <w:r w:rsidR="0040540F">
        <w:t>.</w:t>
      </w:r>
    </w:p>
    <w:p w:rsidR="00732923" w:rsidRDefault="00732923" w:rsidP="00B42387">
      <w:pPr>
        <w:ind w:left="720"/>
        <w:jc w:val="both"/>
      </w:pPr>
    </w:p>
    <w:p w:rsidR="00732923" w:rsidRDefault="00732923" w:rsidP="00B42387">
      <w:pPr>
        <w:ind w:left="720"/>
        <w:jc w:val="both"/>
      </w:pPr>
    </w:p>
    <w:p w:rsidR="00732923" w:rsidRDefault="00732923" w:rsidP="00B42387">
      <w:pPr>
        <w:ind w:left="720"/>
        <w:jc w:val="both"/>
      </w:pPr>
    </w:p>
    <w:p w:rsidR="00732923" w:rsidRDefault="00732923" w:rsidP="00B42387">
      <w:pPr>
        <w:ind w:left="720"/>
        <w:jc w:val="both"/>
      </w:pPr>
    </w:p>
    <w:p w:rsidR="00627D5F" w:rsidRPr="00732923" w:rsidRDefault="001F6308" w:rsidP="001F6308">
      <w:pPr>
        <w:ind w:left="720"/>
        <w:jc w:val="both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203200</wp:posOffset>
            </wp:positionV>
            <wp:extent cx="6543675" cy="4800600"/>
            <wp:effectExtent l="19050" t="0" r="9525" b="0"/>
            <wp:wrapSquare wrapText="bothSides"/>
            <wp:docPr id="7" name="Immagine 5" descr="C:\Users\Giacomo\Desktop\mondrian\Mondrian-Albero-grigio-1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acomo\Desktop\mondrian\Mondrian-Albero-grigio-19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923" w:rsidRPr="00BD03AE" w:rsidRDefault="00732923" w:rsidP="00732923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732923" w:rsidRPr="004C4712" w:rsidRDefault="00732923" w:rsidP="00732923">
      <w:pPr>
        <w:pStyle w:val="Paragrafoelenco"/>
        <w:jc w:val="both"/>
        <w:rPr>
          <w:b/>
        </w:rPr>
      </w:pPr>
    </w:p>
    <w:p w:rsidR="00732923" w:rsidRDefault="00732923" w:rsidP="00732923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Titolo dell’opera: </w:t>
      </w:r>
      <w:r>
        <w:t>“</w:t>
      </w:r>
      <w:r w:rsidR="00166B0C">
        <w:t>L’albero grigio</w:t>
      </w:r>
      <w:r>
        <w:t>”</w:t>
      </w:r>
    </w:p>
    <w:p w:rsidR="00732923" w:rsidRDefault="00732923" w:rsidP="00732923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Autore: </w:t>
      </w:r>
      <w:r>
        <w:t>Piet Mondrian</w:t>
      </w:r>
    </w:p>
    <w:p w:rsidR="00732923" w:rsidRPr="00D9509A" w:rsidRDefault="00732923" w:rsidP="00732923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>
        <w:t>19</w:t>
      </w:r>
      <w:r w:rsidR="00166B0C">
        <w:t>11</w:t>
      </w:r>
    </w:p>
    <w:p w:rsidR="00732923" w:rsidRPr="00FE1A52" w:rsidRDefault="00732923" w:rsidP="0073292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>
        <w:rPr>
          <w:b/>
        </w:rPr>
        <w:t xml:space="preserve"> (o Supporti)</w:t>
      </w:r>
      <w:r w:rsidRPr="00816003">
        <w:rPr>
          <w:b/>
        </w:rPr>
        <w:t xml:space="preserve">: </w:t>
      </w:r>
      <w:r>
        <w:t>olio su tela</w:t>
      </w:r>
    </w:p>
    <w:p w:rsidR="00732923" w:rsidRPr="00FE1A52" w:rsidRDefault="00732923" w:rsidP="0073292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166B0C">
        <w:t>116,3 x 145,5</w:t>
      </w:r>
    </w:p>
    <w:p w:rsidR="00732923" w:rsidRDefault="00732923" w:rsidP="00732923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>
        <w:t>L’Aia, Gemeentemuseum Den Haag</w:t>
      </w:r>
    </w:p>
    <w:p w:rsidR="00732923" w:rsidRPr="00627D5F" w:rsidRDefault="00732923" w:rsidP="00732923">
      <w:pPr>
        <w:pStyle w:val="Paragrafoelenco"/>
        <w:jc w:val="both"/>
        <w:rPr>
          <w:b/>
        </w:rPr>
      </w:pPr>
    </w:p>
    <w:p w:rsidR="00732923" w:rsidRDefault="00732923" w:rsidP="00732923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ovvero </w:t>
      </w:r>
      <w:r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166B0C" w:rsidRPr="00166B0C" w:rsidRDefault="00166B0C" w:rsidP="00166B0C">
      <w:pPr>
        <w:ind w:left="720"/>
        <w:jc w:val="both"/>
      </w:pPr>
      <w:r w:rsidRPr="00166B0C">
        <w:t>L’albero grigio ha forme semplificate: I colori sono scomparsi</w:t>
      </w:r>
      <w:r>
        <w:t>, i rami curvi si distendono come archi e si espandono sullo sfondo, come in una scomposizione cubista.</w:t>
      </w:r>
    </w:p>
    <w:p w:rsidR="00732923" w:rsidRDefault="00732923" w:rsidP="00627D5F">
      <w:pPr>
        <w:pStyle w:val="Paragrafoelenco"/>
        <w:ind w:left="1080"/>
        <w:jc w:val="both"/>
        <w:rPr>
          <w:b/>
        </w:rPr>
      </w:pPr>
    </w:p>
    <w:p w:rsidR="00732923" w:rsidRDefault="00732923" w:rsidP="00627D5F">
      <w:pPr>
        <w:pStyle w:val="Paragrafoelenco"/>
        <w:ind w:left="1080"/>
        <w:jc w:val="both"/>
        <w:rPr>
          <w:b/>
        </w:rPr>
      </w:pPr>
    </w:p>
    <w:p w:rsidR="00732923" w:rsidRDefault="00732923" w:rsidP="00627D5F">
      <w:pPr>
        <w:pStyle w:val="Paragrafoelenco"/>
        <w:ind w:left="1080"/>
        <w:jc w:val="both"/>
        <w:rPr>
          <w:b/>
        </w:rPr>
      </w:pPr>
    </w:p>
    <w:p w:rsidR="00732923" w:rsidRDefault="00732923" w:rsidP="00627D5F">
      <w:pPr>
        <w:pStyle w:val="Paragrafoelenco"/>
        <w:ind w:left="1080"/>
        <w:jc w:val="both"/>
        <w:rPr>
          <w:b/>
        </w:rPr>
      </w:pPr>
    </w:p>
    <w:p w:rsidR="00732923" w:rsidRDefault="00732923" w:rsidP="00627D5F">
      <w:pPr>
        <w:pStyle w:val="Paragrafoelenco"/>
        <w:ind w:left="1080"/>
        <w:jc w:val="both"/>
        <w:rPr>
          <w:b/>
        </w:rPr>
      </w:pPr>
    </w:p>
    <w:p w:rsidR="00732923" w:rsidRDefault="001F6308" w:rsidP="00627D5F">
      <w:pPr>
        <w:pStyle w:val="Paragrafoelenco"/>
        <w:ind w:left="1080"/>
        <w:jc w:val="both"/>
        <w:rPr>
          <w:b/>
        </w:rPr>
      </w:pPr>
      <w:r w:rsidRPr="001F6308">
        <w:rPr>
          <w:b/>
          <w:noProof/>
          <w:lang w:eastAsia="it-I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203791</wp:posOffset>
            </wp:positionV>
            <wp:extent cx="6515757" cy="4603531"/>
            <wp:effectExtent l="19050" t="0" r="0" b="0"/>
            <wp:wrapSquare wrapText="bothSides"/>
            <wp:docPr id="8" name="Immagine 3" descr="C:\Users\Giacomo\Desktop\mondrian\melo in fiore 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acomo\Desktop\mondrian\melo in fiore 19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4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923" w:rsidRDefault="00732923" w:rsidP="00627D5F">
      <w:pPr>
        <w:pStyle w:val="Paragrafoelenco"/>
        <w:ind w:left="1080"/>
        <w:jc w:val="both"/>
        <w:rPr>
          <w:b/>
        </w:rPr>
      </w:pPr>
    </w:p>
    <w:p w:rsidR="00732923" w:rsidRDefault="00732923" w:rsidP="00627D5F">
      <w:pPr>
        <w:pStyle w:val="Paragrafoelenco"/>
        <w:ind w:left="1080"/>
        <w:jc w:val="both"/>
        <w:rPr>
          <w:b/>
        </w:rPr>
      </w:pPr>
    </w:p>
    <w:p w:rsidR="001F6308" w:rsidRPr="00BD03AE" w:rsidRDefault="001F6308" w:rsidP="001F6308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1F6308" w:rsidRPr="004C4712" w:rsidRDefault="001F6308" w:rsidP="001F6308">
      <w:pPr>
        <w:pStyle w:val="Paragrafoelenco"/>
        <w:jc w:val="both"/>
        <w:rPr>
          <w:b/>
        </w:rPr>
      </w:pPr>
    </w:p>
    <w:p w:rsidR="001F6308" w:rsidRDefault="001F6308" w:rsidP="001F6308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Titolo dell’opera: </w:t>
      </w:r>
      <w:r>
        <w:t>“</w:t>
      </w:r>
      <w:r w:rsidR="00781B38">
        <w:t>Melo in fiore</w:t>
      </w:r>
      <w:r>
        <w:t>”</w:t>
      </w:r>
    </w:p>
    <w:p w:rsidR="001F6308" w:rsidRDefault="001F6308" w:rsidP="001F6308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Autore: </w:t>
      </w:r>
      <w:r>
        <w:t>Piet Mondrian</w:t>
      </w:r>
    </w:p>
    <w:p w:rsidR="001F6308" w:rsidRPr="00D9509A" w:rsidRDefault="001F6308" w:rsidP="001F6308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>
        <w:t>191</w:t>
      </w:r>
      <w:r w:rsidR="00781B38">
        <w:t>2</w:t>
      </w:r>
    </w:p>
    <w:p w:rsidR="001F6308" w:rsidRPr="00FE1A52" w:rsidRDefault="001F6308" w:rsidP="001F630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>
        <w:rPr>
          <w:b/>
        </w:rPr>
        <w:t xml:space="preserve"> (o Supporti)</w:t>
      </w:r>
      <w:r w:rsidRPr="00816003">
        <w:rPr>
          <w:b/>
        </w:rPr>
        <w:t xml:space="preserve">: </w:t>
      </w:r>
      <w:r>
        <w:t>olio su tela</w:t>
      </w:r>
    </w:p>
    <w:p w:rsidR="001F6308" w:rsidRPr="00FE1A52" w:rsidRDefault="001F6308" w:rsidP="001F630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>
        <w:t>11</w:t>
      </w:r>
      <w:r w:rsidR="00781B38">
        <w:t>5,5</w:t>
      </w:r>
      <w:r>
        <w:t>x 14</w:t>
      </w:r>
      <w:r w:rsidR="00781B38">
        <w:t>4,3</w:t>
      </w:r>
    </w:p>
    <w:p w:rsidR="001F6308" w:rsidRDefault="001F6308" w:rsidP="001F6308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>
        <w:t>L’Aia, Gemeentemuseum Den Haag</w:t>
      </w:r>
    </w:p>
    <w:p w:rsidR="001F6308" w:rsidRPr="00627D5F" w:rsidRDefault="001F6308" w:rsidP="001F6308">
      <w:pPr>
        <w:pStyle w:val="Paragrafoelenco"/>
        <w:jc w:val="both"/>
        <w:rPr>
          <w:b/>
        </w:rPr>
      </w:pPr>
    </w:p>
    <w:p w:rsidR="001F6308" w:rsidRDefault="001F6308" w:rsidP="001F6308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ovvero </w:t>
      </w:r>
      <w:r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1F6308" w:rsidRDefault="005C161C" w:rsidP="005C161C">
      <w:pPr>
        <w:ind w:left="720"/>
        <w:jc w:val="both"/>
      </w:pPr>
      <w:r>
        <w:t>In questo quadro si compie la trasformazione dell’albero in una creazione astratta, composta dall’incontro di linee orizzontali e verticali, ammorbidito da andamenti curvi che ancora richiamano il soggetto di partenza.</w:t>
      </w:r>
    </w:p>
    <w:p w:rsidR="005C161C" w:rsidRDefault="005C161C" w:rsidP="005C161C">
      <w:pPr>
        <w:ind w:left="720"/>
        <w:jc w:val="both"/>
      </w:pPr>
    </w:p>
    <w:p w:rsidR="005C161C" w:rsidRPr="005C161C" w:rsidRDefault="005C161C" w:rsidP="005C161C">
      <w:pPr>
        <w:ind w:left="720"/>
        <w:jc w:val="both"/>
      </w:pPr>
    </w:p>
    <w:p w:rsidR="001F6308" w:rsidRPr="005C161C" w:rsidRDefault="001F6308" w:rsidP="005C161C">
      <w:pPr>
        <w:jc w:val="both"/>
        <w:rPr>
          <w:b/>
        </w:rPr>
      </w:pPr>
    </w:p>
    <w:p w:rsidR="001F6308" w:rsidRPr="00627D5F" w:rsidRDefault="001F6308" w:rsidP="00627D5F">
      <w:pPr>
        <w:pStyle w:val="Paragrafoelenco"/>
        <w:ind w:left="1080"/>
        <w:jc w:val="both"/>
        <w:rPr>
          <w:b/>
        </w:rPr>
      </w:pPr>
    </w:p>
    <w:p w:rsidR="0089783F" w:rsidRDefault="00AA7A70" w:rsidP="0089783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89783F" w:rsidRPr="0089783F" w:rsidRDefault="0089783F" w:rsidP="0089783F">
      <w:pPr>
        <w:pStyle w:val="Paragrafoelenco"/>
        <w:jc w:val="both"/>
        <w:rPr>
          <w:b/>
        </w:rPr>
      </w:pPr>
    </w:p>
    <w:p w:rsidR="00627D5F" w:rsidRDefault="005C161C" w:rsidP="005C161C">
      <w:pPr>
        <w:pStyle w:val="Paragrafoelenco"/>
        <w:jc w:val="both"/>
      </w:pPr>
      <w:r w:rsidRPr="005C161C">
        <w:t>Il</w:t>
      </w:r>
      <w:r w:rsidR="008C7BEF">
        <w:t xml:space="preserve"> </w:t>
      </w:r>
      <w:r w:rsidRPr="005C161C">
        <w:t>percorso</w:t>
      </w:r>
      <w:r w:rsidR="008C7BEF">
        <w:t xml:space="preserve"> di Mondrian</w:t>
      </w:r>
      <w:r w:rsidRPr="005C161C">
        <w:t xml:space="preserve"> verso l’Astrattismo parte dall’osservazione diretta della natura </w:t>
      </w:r>
      <w:r w:rsidR="008C7BEF">
        <w:t>attraverso l’approfondimento di un</w:t>
      </w:r>
      <w:r w:rsidRPr="005C161C">
        <w:t xml:space="preserve"> motivo producendo, così come avevano già fatto Monet e Cézanne, varie serie di opere che mostrano chiaramente il suo andare verso una progressiva spoliazione di tutto ciò che è contingente, sia nei colori che nella linea, di tutto ciò che può esprimere la mutevolezza dell</w:t>
      </w:r>
      <w:r>
        <w:t>e</w:t>
      </w:r>
      <w:r w:rsidRPr="005C161C">
        <w:t xml:space="preserve"> cose.</w:t>
      </w:r>
      <w:r>
        <w:t xml:space="preserve"> </w:t>
      </w:r>
    </w:p>
    <w:p w:rsidR="005C161C" w:rsidRDefault="005C161C" w:rsidP="005C161C">
      <w:pPr>
        <w:pStyle w:val="Paragrafoelenco"/>
        <w:jc w:val="both"/>
      </w:pPr>
      <w:r w:rsidRPr="005C161C">
        <w:t xml:space="preserve">In </w:t>
      </w:r>
      <w:r w:rsidR="008C7BEF">
        <w:t>“</w:t>
      </w:r>
      <w:r w:rsidRPr="008C7BEF">
        <w:rPr>
          <w:b/>
          <w:i/>
        </w:rPr>
        <w:t>Melo in fiore</w:t>
      </w:r>
      <w:r w:rsidR="008C7BEF">
        <w:t xml:space="preserve">” del 1912, </w:t>
      </w:r>
      <w:r w:rsidRPr="005C161C">
        <w:t xml:space="preserve">la prima immagine espressionista dell’albero è ridotta a un reticolo di eleganti linee rette e curve, vago ricordo della griglia cubista, che suggeriscono una sorta di armonia pitagorica sottostante e creano l’effetto di tessere o scaglie iridescenti sulla compattezza del fondo. Arriverà intorno al </w:t>
      </w:r>
      <w:r w:rsidRPr="00C2494A">
        <w:rPr>
          <w:b/>
          <w:i/>
        </w:rPr>
        <w:t>1915</w:t>
      </w:r>
      <w:r w:rsidRPr="005C161C">
        <w:t xml:space="preserve"> a composizioni</w:t>
      </w:r>
      <w:r w:rsidR="00887EBB">
        <w:t>, come quella qui sotto,</w:t>
      </w:r>
      <w:r w:rsidRPr="005C161C">
        <w:t xml:space="preserve"> nelle quali è impossibile rintracciare qualsiasi riferimento reale.</w:t>
      </w:r>
      <w:r>
        <w:t xml:space="preserve"> </w:t>
      </w:r>
    </w:p>
    <w:p w:rsidR="0032544D" w:rsidRDefault="0032544D" w:rsidP="005C161C">
      <w:pPr>
        <w:pStyle w:val="Paragrafoelenco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685800</wp:posOffset>
            </wp:positionH>
            <wp:positionV relativeFrom="margin">
              <wp:posOffset>2710180</wp:posOffset>
            </wp:positionV>
            <wp:extent cx="5317490" cy="4043680"/>
            <wp:effectExtent l="19050" t="0" r="0" b="0"/>
            <wp:wrapSquare wrapText="bothSides"/>
            <wp:docPr id="10" name="Immagine 6" descr="C:\Users\Giacomo\Desktop\mondrian\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acomo\Desktop\mondrian\19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404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44D" w:rsidRDefault="0032544D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5C161C">
      <w:pPr>
        <w:pStyle w:val="Paragrafoelenco"/>
        <w:jc w:val="both"/>
      </w:pPr>
    </w:p>
    <w:p w:rsidR="005C161C" w:rsidRDefault="005C161C" w:rsidP="00627D5F">
      <w:pPr>
        <w:pStyle w:val="Paragrafoelenco"/>
        <w:ind w:left="1080"/>
        <w:jc w:val="both"/>
      </w:pPr>
    </w:p>
    <w:p w:rsidR="0032544D" w:rsidRDefault="0032544D" w:rsidP="00627D5F">
      <w:pPr>
        <w:pStyle w:val="Paragrafoelenco"/>
        <w:ind w:left="1080"/>
        <w:jc w:val="both"/>
        <w:rPr>
          <w:b/>
        </w:rPr>
      </w:pPr>
    </w:p>
    <w:p w:rsidR="00B73DC2" w:rsidRDefault="00B73DC2" w:rsidP="00C7759D">
      <w:pPr>
        <w:ind w:left="705"/>
        <w:jc w:val="both"/>
      </w:pPr>
      <w:r>
        <w:t>Quest’opera non appartiene alla serie degli alberi</w:t>
      </w:r>
      <w:r w:rsidR="00C7759D">
        <w:t>: ormai Mondrian ha del tutto abbandonato la figurazione per dedicarsi unicamente al linguaggio astratto. Il dipinto sembra rappresentare un passaggio verso le composizioni rigorosamente geometriche del decennio successivo.</w:t>
      </w:r>
    </w:p>
    <w:p w:rsidR="000558B0" w:rsidRDefault="000558B0" w:rsidP="00C7759D">
      <w:pPr>
        <w:ind w:left="705"/>
        <w:jc w:val="both"/>
      </w:pPr>
      <w:r w:rsidRPr="000558B0">
        <w:t xml:space="preserve">Dal </w:t>
      </w:r>
      <w:r w:rsidRPr="00C2494A">
        <w:rPr>
          <w:b/>
          <w:i/>
        </w:rPr>
        <w:t>1919</w:t>
      </w:r>
      <w:r w:rsidRPr="000558B0">
        <w:t xml:space="preserve"> inizia la serie di </w:t>
      </w:r>
      <w:r w:rsidRPr="00C2494A">
        <w:rPr>
          <w:b/>
          <w:i/>
        </w:rPr>
        <w:t>Composizioni</w:t>
      </w:r>
      <w:r w:rsidRPr="000558B0">
        <w:t xml:space="preserve"> realizzate attraverso sapienti bilanciamenti di quantità e qualità del colore - </w:t>
      </w:r>
      <w:r w:rsidRPr="0064097E">
        <w:rPr>
          <w:b/>
          <w:i/>
        </w:rPr>
        <w:t>rosso</w:t>
      </w:r>
      <w:r w:rsidRPr="000558B0">
        <w:t xml:space="preserve">, </w:t>
      </w:r>
      <w:r w:rsidRPr="0064097E">
        <w:rPr>
          <w:b/>
          <w:i/>
        </w:rPr>
        <w:t>blu</w:t>
      </w:r>
      <w:r w:rsidRPr="000558B0">
        <w:t xml:space="preserve"> e </w:t>
      </w:r>
      <w:r w:rsidRPr="0064097E">
        <w:rPr>
          <w:b/>
          <w:i/>
        </w:rPr>
        <w:t>giallo</w:t>
      </w:r>
      <w:r w:rsidRPr="000558B0">
        <w:t xml:space="preserve"> - e organizzazione degli spazi che producono un equilibrio pur nell’assenza di simmetria, </w:t>
      </w:r>
      <w:r w:rsidRPr="006D6C45">
        <w:rPr>
          <w:b/>
          <w:i/>
        </w:rPr>
        <w:t>metafora di una superiore e universale armonia</w:t>
      </w:r>
      <w:r w:rsidRPr="000558B0">
        <w:t xml:space="preserve"> . Apparentemente identiche, in realtà nessuna di queste Composizioni è uguale all'altra: sembrano alludere a una </w:t>
      </w:r>
      <w:r w:rsidRPr="00C050C9">
        <w:rPr>
          <w:b/>
          <w:i/>
        </w:rPr>
        <w:t>infinita possibilità di combinazioni degli elementi</w:t>
      </w:r>
      <w:r w:rsidRPr="000558B0">
        <w:t>.</w:t>
      </w:r>
    </w:p>
    <w:p w:rsidR="000558B0" w:rsidRDefault="000558B0" w:rsidP="000558B0">
      <w:pPr>
        <w:ind w:left="705"/>
        <w:jc w:val="both"/>
      </w:pPr>
      <w:r>
        <w:lastRenderedPageBreak/>
        <w:t xml:space="preserve">Anche la scelta dei </w:t>
      </w:r>
      <w:r w:rsidRPr="00A81C92">
        <w:rPr>
          <w:b/>
          <w:i/>
        </w:rPr>
        <w:t>due assi ortogonali</w:t>
      </w:r>
      <w:r>
        <w:t xml:space="preserve"> come unici degni di rappresentare la linea è espressione di assoluta armonia: le </w:t>
      </w:r>
      <w:r w:rsidRPr="00A81C92">
        <w:rPr>
          <w:b/>
          <w:i/>
        </w:rPr>
        <w:t>verticali</w:t>
      </w:r>
      <w:r>
        <w:t xml:space="preserve"> corrispondono al </w:t>
      </w:r>
      <w:r w:rsidRPr="00A81C92">
        <w:rPr>
          <w:b/>
          <w:i/>
        </w:rPr>
        <w:t>principio maschile e all'universale</w:t>
      </w:r>
      <w:r>
        <w:t xml:space="preserve">, le </w:t>
      </w:r>
      <w:r w:rsidRPr="00A81C92">
        <w:rPr>
          <w:b/>
          <w:i/>
        </w:rPr>
        <w:t>orizzontali</w:t>
      </w:r>
      <w:r>
        <w:t xml:space="preserve"> al </w:t>
      </w:r>
      <w:r w:rsidRPr="00A81C92">
        <w:rPr>
          <w:b/>
          <w:i/>
        </w:rPr>
        <w:t>femminile e all'individuale</w:t>
      </w:r>
      <w:r>
        <w:t xml:space="preserve">. </w:t>
      </w:r>
    </w:p>
    <w:p w:rsidR="00A07949" w:rsidRDefault="000558B0" w:rsidP="000558B0">
      <w:pPr>
        <w:ind w:left="705"/>
        <w:jc w:val="both"/>
      </w:pPr>
      <w:r>
        <w:t xml:space="preserve">Egli stesso dirà: </w:t>
      </w:r>
    </w:p>
    <w:p w:rsidR="000558B0" w:rsidRDefault="000558B0" w:rsidP="000558B0">
      <w:pPr>
        <w:ind w:left="705"/>
        <w:jc w:val="both"/>
      </w:pPr>
      <w:r>
        <w:t>"</w:t>
      </w:r>
      <w:r w:rsidRPr="00A07949">
        <w:rPr>
          <w:i/>
        </w:rPr>
        <w:t>L'unità di positivo e negativo è felicità ; è ribadita dall'artista nel quale si trovano entrambi gli elementi maschile e femminile.</w:t>
      </w:r>
      <w:r w:rsidR="00A07949">
        <w:t xml:space="preserve"> </w:t>
      </w:r>
      <w:r w:rsidRPr="00A07949">
        <w:rPr>
          <w:i/>
        </w:rPr>
        <w:t>L'equilibrio tra le due tendenze porta all'eliminazione di qualsiasi tensione tra universale e individuale</w:t>
      </w:r>
      <w:r w:rsidR="00A07949">
        <w:t>”</w:t>
      </w:r>
      <w:r>
        <w:t>.</w:t>
      </w:r>
    </w:p>
    <w:p w:rsidR="005C161C" w:rsidRPr="00627D5F" w:rsidRDefault="005C161C" w:rsidP="00627D5F">
      <w:pPr>
        <w:pStyle w:val="Paragrafoelenco"/>
        <w:ind w:left="1080"/>
        <w:jc w:val="both"/>
        <w:rPr>
          <w:b/>
        </w:rPr>
      </w:pP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64634C" w:rsidRDefault="0064634C" w:rsidP="0064634C">
      <w:pPr>
        <w:ind w:left="720"/>
        <w:jc w:val="both"/>
      </w:pPr>
      <w:r>
        <w:t xml:space="preserve">Convinto che solamente la </w:t>
      </w:r>
      <w:r w:rsidRPr="00D9010E">
        <w:rPr>
          <w:b/>
          <w:i/>
        </w:rPr>
        <w:t>nuova pittura da lui creata</w:t>
      </w:r>
      <w:r>
        <w:t>, “</w:t>
      </w:r>
      <w:r w:rsidRPr="00D9010E">
        <w:rPr>
          <w:i/>
        </w:rPr>
        <w:t>basata su un movimento dinamico e un equilibrio perfetto</w:t>
      </w:r>
      <w:r>
        <w:t xml:space="preserve">”, può penetrare e scoprire la realtà, l’armonia assoluta e la perfezione eterna, comincia a costruire la sua astrazione basandosi sui seguenti elementi: le </w:t>
      </w:r>
      <w:r w:rsidRPr="00D9010E">
        <w:rPr>
          <w:b/>
          <w:i/>
        </w:rPr>
        <w:t>linee rette</w:t>
      </w:r>
      <w:r>
        <w:t xml:space="preserve"> (orizzontali e verticali), i </w:t>
      </w:r>
      <w:r w:rsidRPr="00D9010E">
        <w:rPr>
          <w:b/>
          <w:i/>
        </w:rPr>
        <w:t>colori primari</w:t>
      </w:r>
      <w:r>
        <w:t xml:space="preserve"> (rosso, blu e giallo), e i </w:t>
      </w:r>
      <w:r w:rsidRPr="00D9010E">
        <w:rPr>
          <w:b/>
          <w:i/>
        </w:rPr>
        <w:t>non-colori</w:t>
      </w:r>
      <w:r>
        <w:t xml:space="preserve"> (nero, bianco e grigi intermedi), più le </w:t>
      </w:r>
      <w:r w:rsidRPr="00D9010E">
        <w:rPr>
          <w:b/>
          <w:i/>
        </w:rPr>
        <w:t>forme</w:t>
      </w:r>
      <w:r>
        <w:t xml:space="preserve"> e lo </w:t>
      </w:r>
      <w:r w:rsidRPr="00D9010E">
        <w:rPr>
          <w:b/>
          <w:i/>
        </w:rPr>
        <w:t>spazio</w:t>
      </w:r>
      <w:r>
        <w:t xml:space="preserve">. </w:t>
      </w:r>
    </w:p>
    <w:p w:rsidR="0064634C" w:rsidRDefault="0064634C" w:rsidP="0064634C">
      <w:pPr>
        <w:ind w:left="720"/>
        <w:jc w:val="both"/>
      </w:pPr>
      <w:r>
        <w:t xml:space="preserve">Elimina le </w:t>
      </w:r>
      <w:r w:rsidRPr="00C25509">
        <w:rPr>
          <w:i/>
        </w:rPr>
        <w:t>linee curve</w:t>
      </w:r>
      <w:r>
        <w:t xml:space="preserve">, considerandole con minori possibilità di quelle </w:t>
      </w:r>
      <w:r w:rsidRPr="00C25509">
        <w:rPr>
          <w:b/>
          <w:i/>
        </w:rPr>
        <w:t>rette</w:t>
      </w:r>
      <w:r>
        <w:t xml:space="preserve">, dato che quelle </w:t>
      </w:r>
      <w:r w:rsidRPr="00C25509">
        <w:rPr>
          <w:i/>
        </w:rPr>
        <w:t>sono chiuse e finite</w:t>
      </w:r>
      <w:r>
        <w:t xml:space="preserve">, invece queste </w:t>
      </w:r>
      <w:r w:rsidR="004F40CF">
        <w:rPr>
          <w:b/>
          <w:i/>
        </w:rPr>
        <w:t>gli permettono di formar</w:t>
      </w:r>
      <w:r w:rsidRPr="00C25509">
        <w:rPr>
          <w:b/>
          <w:i/>
        </w:rPr>
        <w:t>e angoli acuti</w:t>
      </w:r>
      <w:r>
        <w:t xml:space="preserve">, risultanti dall’incontro delle </w:t>
      </w:r>
      <w:r w:rsidRPr="00C25509">
        <w:rPr>
          <w:b/>
          <w:i/>
        </w:rPr>
        <w:t>verticali</w:t>
      </w:r>
      <w:r>
        <w:t xml:space="preserve"> con quelle </w:t>
      </w:r>
      <w:r w:rsidRPr="00C25509">
        <w:rPr>
          <w:b/>
          <w:i/>
        </w:rPr>
        <w:t>orizzontali</w:t>
      </w:r>
      <w:r>
        <w:t xml:space="preserve">. </w:t>
      </w:r>
    </w:p>
    <w:p w:rsidR="0064634C" w:rsidRDefault="0064634C" w:rsidP="0064634C">
      <w:pPr>
        <w:ind w:left="720"/>
        <w:jc w:val="both"/>
      </w:pPr>
      <w:r>
        <w:t>Inoltre le linee rette possono:</w:t>
      </w:r>
    </w:p>
    <w:p w:rsidR="0064634C" w:rsidRDefault="0064634C" w:rsidP="0064634C">
      <w:pPr>
        <w:ind w:left="720"/>
        <w:jc w:val="both"/>
      </w:pPr>
      <w:r>
        <w:t xml:space="preserve">a) </w:t>
      </w:r>
      <w:r w:rsidRPr="00C25509">
        <w:rPr>
          <w:b/>
          <w:i/>
        </w:rPr>
        <w:t>prolungarsi all’infinito</w:t>
      </w:r>
      <w:r>
        <w:t xml:space="preserve"> </w:t>
      </w:r>
    </w:p>
    <w:p w:rsidR="0064634C" w:rsidRDefault="0064634C" w:rsidP="0064634C">
      <w:pPr>
        <w:ind w:left="720"/>
        <w:jc w:val="both"/>
      </w:pPr>
      <w:r>
        <w:t xml:space="preserve">b) </w:t>
      </w:r>
      <w:r w:rsidRPr="00C25509">
        <w:rPr>
          <w:b/>
          <w:i/>
        </w:rPr>
        <w:t>creare forze opposte in equilibrio</w:t>
      </w:r>
      <w:r>
        <w:t xml:space="preserve"> </w:t>
      </w:r>
    </w:p>
    <w:p w:rsidR="0064634C" w:rsidRDefault="0064634C" w:rsidP="0064634C">
      <w:pPr>
        <w:ind w:left="720"/>
        <w:jc w:val="both"/>
      </w:pPr>
      <w:r>
        <w:t xml:space="preserve">c) </w:t>
      </w:r>
      <w:r w:rsidRPr="00C25509">
        <w:rPr>
          <w:b/>
          <w:i/>
        </w:rPr>
        <w:t>creare rettangoli o quadrati statici, ma attivi nel loro complesso (e nei loro colori e non-colori), formando un equilibrio</w:t>
      </w:r>
      <w:r>
        <w:t>.</w:t>
      </w:r>
    </w:p>
    <w:p w:rsidR="0064634C" w:rsidRPr="004D71C9" w:rsidRDefault="0064634C" w:rsidP="0064634C">
      <w:pPr>
        <w:ind w:left="720"/>
        <w:jc w:val="both"/>
      </w:pPr>
      <w:r>
        <w:t>“</w:t>
      </w:r>
      <w:r w:rsidRPr="0064634C">
        <w:rPr>
          <w:i/>
        </w:rPr>
        <w:t>I colori devono essere puri, senza modulazioni, per annullare ogni soggettivismo da parte dell’artista e dello spettatore, questi deve trovarsi di fronte ad una unità matematicamente perfetta, oggettiva, fredda, però più reale di quelle della natura, che sono solamente realtà apparenti, ingannevoli e limitate.</w:t>
      </w:r>
      <w:r>
        <w:t>”</w:t>
      </w: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E8" w:rsidRDefault="00BE5AE8" w:rsidP="004C4712">
      <w:pPr>
        <w:spacing w:after="0" w:line="240" w:lineRule="auto"/>
      </w:pPr>
      <w:r>
        <w:separator/>
      </w:r>
    </w:p>
  </w:endnote>
  <w:endnote w:type="continuationSeparator" w:id="0">
    <w:p w:rsidR="00BE5AE8" w:rsidRDefault="00BE5AE8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F77513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Donadio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DB4DAA" w:rsidRPr="00DB4DAA">
                      <w:rPr>
                        <w:noProof/>
                        <w:color w:val="FFFFFF" w:themeColor="background1"/>
                      </w:rPr>
                      <w:t>5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E8" w:rsidRDefault="00BE5AE8" w:rsidP="004C4712">
      <w:pPr>
        <w:spacing w:after="0" w:line="240" w:lineRule="auto"/>
      </w:pPr>
      <w:r>
        <w:separator/>
      </w:r>
    </w:p>
  </w:footnote>
  <w:footnote w:type="continuationSeparator" w:id="0">
    <w:p w:rsidR="00BE5AE8" w:rsidRDefault="00BE5AE8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F77513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DE63AA">
                        <w:rPr>
                          <w:color w:val="FFFFFF" w:themeColor="background1"/>
                          <w:sz w:val="28"/>
                          <w:szCs w:val="28"/>
                        </w:rPr>
                        <w:t>a (arti figurative): P. Mondrian – “Evoluzione di un albero”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F77513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r w:rsidR="00DE63AA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3f5RRDK9O7Ugiix7FJJZ6oTCia8=" w:salt="Z7bURsUe9rwgZlfImCWt1g=="/>
  <w:defaultTabStop w:val="708"/>
  <w:hyphenationZone w:val="283"/>
  <w:characterSpacingControl w:val="doNotCompress"/>
  <w:hdrShapeDefaults>
    <o:shapedefaults v:ext="edit" spidmax="18434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558B0"/>
    <w:rsid w:val="00070459"/>
    <w:rsid w:val="000A637C"/>
    <w:rsid w:val="000C1972"/>
    <w:rsid w:val="00101FE8"/>
    <w:rsid w:val="0013067C"/>
    <w:rsid w:val="0016228B"/>
    <w:rsid w:val="00166B0C"/>
    <w:rsid w:val="00171B53"/>
    <w:rsid w:val="001C32C3"/>
    <w:rsid w:val="001E40E0"/>
    <w:rsid w:val="001F6308"/>
    <w:rsid w:val="00203929"/>
    <w:rsid w:val="002065E7"/>
    <w:rsid w:val="00252EF0"/>
    <w:rsid w:val="00271D37"/>
    <w:rsid w:val="0029057E"/>
    <w:rsid w:val="002C3C2A"/>
    <w:rsid w:val="00311A0D"/>
    <w:rsid w:val="00311E98"/>
    <w:rsid w:val="0032544D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0540F"/>
    <w:rsid w:val="004636FA"/>
    <w:rsid w:val="00485240"/>
    <w:rsid w:val="004C4712"/>
    <w:rsid w:val="004D71C9"/>
    <w:rsid w:val="004F40CF"/>
    <w:rsid w:val="00543828"/>
    <w:rsid w:val="0054655D"/>
    <w:rsid w:val="00551606"/>
    <w:rsid w:val="0055361D"/>
    <w:rsid w:val="005677F0"/>
    <w:rsid w:val="00572D2A"/>
    <w:rsid w:val="005872B2"/>
    <w:rsid w:val="00597CE6"/>
    <w:rsid w:val="005A062F"/>
    <w:rsid w:val="005C161C"/>
    <w:rsid w:val="005F7332"/>
    <w:rsid w:val="00606FB6"/>
    <w:rsid w:val="00627D5F"/>
    <w:rsid w:val="006400FE"/>
    <w:rsid w:val="0064097E"/>
    <w:rsid w:val="00645170"/>
    <w:rsid w:val="0064634C"/>
    <w:rsid w:val="00664C39"/>
    <w:rsid w:val="0067191A"/>
    <w:rsid w:val="006871B4"/>
    <w:rsid w:val="006A5578"/>
    <w:rsid w:val="006A560C"/>
    <w:rsid w:val="006C53A2"/>
    <w:rsid w:val="006D6C45"/>
    <w:rsid w:val="006E1C96"/>
    <w:rsid w:val="006F3E64"/>
    <w:rsid w:val="006F470A"/>
    <w:rsid w:val="00717EE1"/>
    <w:rsid w:val="00732923"/>
    <w:rsid w:val="00733669"/>
    <w:rsid w:val="00734384"/>
    <w:rsid w:val="00736E5C"/>
    <w:rsid w:val="0077265B"/>
    <w:rsid w:val="007732DF"/>
    <w:rsid w:val="00781B38"/>
    <w:rsid w:val="00785F50"/>
    <w:rsid w:val="007A11AA"/>
    <w:rsid w:val="007A7BFD"/>
    <w:rsid w:val="007B45D2"/>
    <w:rsid w:val="007D3D22"/>
    <w:rsid w:val="007F6047"/>
    <w:rsid w:val="00816003"/>
    <w:rsid w:val="008339A9"/>
    <w:rsid w:val="00836FA0"/>
    <w:rsid w:val="008466E8"/>
    <w:rsid w:val="00861A2B"/>
    <w:rsid w:val="00887EBB"/>
    <w:rsid w:val="008941EE"/>
    <w:rsid w:val="0089783F"/>
    <w:rsid w:val="008A1DC4"/>
    <w:rsid w:val="008A4441"/>
    <w:rsid w:val="008B01A3"/>
    <w:rsid w:val="008B57F1"/>
    <w:rsid w:val="008C7BEF"/>
    <w:rsid w:val="008D716A"/>
    <w:rsid w:val="00912B10"/>
    <w:rsid w:val="00917232"/>
    <w:rsid w:val="00956073"/>
    <w:rsid w:val="00982AB1"/>
    <w:rsid w:val="00994F03"/>
    <w:rsid w:val="009A2156"/>
    <w:rsid w:val="009F6023"/>
    <w:rsid w:val="00A07949"/>
    <w:rsid w:val="00A130DC"/>
    <w:rsid w:val="00A30AA8"/>
    <w:rsid w:val="00A51B4B"/>
    <w:rsid w:val="00A56129"/>
    <w:rsid w:val="00A66805"/>
    <w:rsid w:val="00A81C92"/>
    <w:rsid w:val="00AA7A70"/>
    <w:rsid w:val="00AB1BA0"/>
    <w:rsid w:val="00AD0B3A"/>
    <w:rsid w:val="00AD223D"/>
    <w:rsid w:val="00B17927"/>
    <w:rsid w:val="00B308DE"/>
    <w:rsid w:val="00B42387"/>
    <w:rsid w:val="00B43560"/>
    <w:rsid w:val="00B73DC2"/>
    <w:rsid w:val="00B75585"/>
    <w:rsid w:val="00B80E5F"/>
    <w:rsid w:val="00BD03AE"/>
    <w:rsid w:val="00BD5130"/>
    <w:rsid w:val="00BD74AE"/>
    <w:rsid w:val="00BE5AE8"/>
    <w:rsid w:val="00BE5F04"/>
    <w:rsid w:val="00C050C9"/>
    <w:rsid w:val="00C12464"/>
    <w:rsid w:val="00C2494A"/>
    <w:rsid w:val="00C25509"/>
    <w:rsid w:val="00C63868"/>
    <w:rsid w:val="00C7759D"/>
    <w:rsid w:val="00C814FD"/>
    <w:rsid w:val="00C92AD7"/>
    <w:rsid w:val="00CB7230"/>
    <w:rsid w:val="00D03E1D"/>
    <w:rsid w:val="00D9010E"/>
    <w:rsid w:val="00D93635"/>
    <w:rsid w:val="00D9509A"/>
    <w:rsid w:val="00DB4DAA"/>
    <w:rsid w:val="00DC1D4F"/>
    <w:rsid w:val="00DD10B8"/>
    <w:rsid w:val="00DD4167"/>
    <w:rsid w:val="00DE365D"/>
    <w:rsid w:val="00DE63AA"/>
    <w:rsid w:val="00DF2840"/>
    <w:rsid w:val="00E8778B"/>
    <w:rsid w:val="00EB5B27"/>
    <w:rsid w:val="00EB7E6C"/>
    <w:rsid w:val="00EE480F"/>
    <w:rsid w:val="00F24BC8"/>
    <w:rsid w:val="00F328A8"/>
    <w:rsid w:val="00F5426E"/>
    <w:rsid w:val="00F77513"/>
    <w:rsid w:val="00F832DF"/>
    <w:rsid w:val="00F91814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417E3"/>
    <w:rsid w:val="006949B3"/>
    <w:rsid w:val="006E1930"/>
    <w:rsid w:val="0070016C"/>
    <w:rsid w:val="00773EFF"/>
    <w:rsid w:val="00852176"/>
    <w:rsid w:val="008F1592"/>
    <w:rsid w:val="00B2540E"/>
    <w:rsid w:val="00B7667B"/>
    <w:rsid w:val="00C02788"/>
    <w:rsid w:val="00C5207A"/>
    <w:rsid w:val="00C64ED2"/>
    <w:rsid w:val="00D2480E"/>
    <w:rsid w:val="00DC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CAA62F-EC2C-42FB-9A03-F2E3319D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735</Words>
  <Characters>4190</Characters>
  <Application>Microsoft Office Word</Application>
  <DocSecurity>8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figurative): P. Mondrian – “Evoluzione di un albero”</vt:lpstr>
    </vt:vector>
  </TitlesOfParts>
  <Company>Lezioni di Storia dell’Arte - Prof.ssa Annamaria Donadio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figurative): P. Mondrian – “Evoluzione di un albero”</dc:title>
  <dc:creator>Giacomo</dc:creator>
  <cp:lastModifiedBy>Giacomo</cp:lastModifiedBy>
  <cp:revision>55</cp:revision>
  <dcterms:created xsi:type="dcterms:W3CDTF">2013-11-05T15:07:00Z</dcterms:created>
  <dcterms:modified xsi:type="dcterms:W3CDTF">2014-06-15T05:42:00Z</dcterms:modified>
</cp:coreProperties>
</file>