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97" w:rsidRDefault="004B1A97" w:rsidP="004B1A97"/>
    <w:p w:rsidR="004C4712" w:rsidRPr="004B1A97" w:rsidRDefault="004B1A97" w:rsidP="004B1A97">
      <w:pPr>
        <w:pStyle w:val="Paragrafoelenco"/>
        <w:numPr>
          <w:ilvl w:val="0"/>
          <w:numId w:val="47"/>
        </w:num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38468" y="1223682"/>
            <wp:positionH relativeFrom="margin">
              <wp:align>center</wp:align>
            </wp:positionH>
            <wp:positionV relativeFrom="margin">
              <wp:align>top</wp:align>
            </wp:positionV>
            <wp:extent cx="6119532" cy="4834218"/>
            <wp:effectExtent l="19050" t="0" r="0" b="0"/>
            <wp:wrapSquare wrapText="bothSides"/>
            <wp:docPr id="1" name="Immagine 1" descr="C:\Users\Giacomo\Desktop\2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284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532" cy="483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712" w:rsidRPr="004B1A97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F12356">
        <w:t>“La colazione sull’erba”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F12356">
        <w:t>Edoard Manet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F12356">
        <w:t>1863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F12356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F12356">
        <w:t>208 x 264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F12356">
        <w:t>Parigi Museo d’Orsay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F12356" w:rsidRDefault="00265C2B" w:rsidP="00F12356">
      <w:pPr>
        <w:ind w:left="708"/>
        <w:jc w:val="both"/>
        <w:rPr>
          <w:rFonts w:cs="Arial"/>
          <w:shd w:val="clear" w:color="auto" w:fill="FFFFFF"/>
        </w:rPr>
      </w:pPr>
      <w:r w:rsidRPr="00265C2B">
        <w:rPr>
          <w:rFonts w:cs="Arial"/>
          <w:shd w:val="clear" w:color="auto" w:fill="FFFFFF"/>
        </w:rPr>
        <w:t>Il quadro raffigura una colazione in un bosco, nei pressi di</w:t>
      </w:r>
      <w:r w:rsidRPr="00265C2B">
        <w:rPr>
          <w:rStyle w:val="apple-converted-space"/>
          <w:rFonts w:cs="Arial"/>
          <w:shd w:val="clear" w:color="auto" w:fill="FFFFFF"/>
        </w:rPr>
        <w:t> </w:t>
      </w:r>
      <w:r w:rsidRPr="00265C2B">
        <w:rPr>
          <w:rFonts w:cs="Arial"/>
          <w:b/>
          <w:shd w:val="clear" w:color="auto" w:fill="FFFFFF"/>
        </w:rPr>
        <w:t>Argenteuil</w:t>
      </w:r>
      <w:r w:rsidRPr="00265C2B">
        <w:rPr>
          <w:rFonts w:cs="Arial"/>
          <w:shd w:val="clear" w:color="auto" w:fill="FFFFFF"/>
        </w:rPr>
        <w:t xml:space="preserve">, dove scorre la Senna. In primo piano vi è una donna nuda che guarda verso lo spettatore, comodamente adagiata su un panno azzurro, probabilmente una parte delle vesti di cui si è liberata. La modella è </w:t>
      </w:r>
      <w:r w:rsidRPr="00265C2B">
        <w:rPr>
          <w:rFonts w:cs="Arial"/>
          <w:b/>
          <w:shd w:val="clear" w:color="auto" w:fill="FFFFFF"/>
        </w:rPr>
        <w:t>Victorine Meurent</w:t>
      </w:r>
      <w:r w:rsidRPr="00265C2B">
        <w:rPr>
          <w:rFonts w:cs="Arial"/>
          <w:shd w:val="clear" w:color="auto" w:fill="FFFFFF"/>
        </w:rPr>
        <w:t xml:space="preserve">, che posò anche per la figura di donna sullo sfondo, la quale è intenta a bagnarsi nel fiume. I due giovani in primo piano, vestiti elegantemente, sono </w:t>
      </w:r>
      <w:r w:rsidRPr="00265C2B">
        <w:rPr>
          <w:rFonts w:cs="Arial"/>
          <w:b/>
          <w:shd w:val="clear" w:color="auto" w:fill="FFFFFF"/>
        </w:rPr>
        <w:t>Gustave Manet</w:t>
      </w:r>
      <w:r w:rsidRPr="00265C2B">
        <w:rPr>
          <w:rFonts w:cs="Arial"/>
          <w:shd w:val="clear" w:color="auto" w:fill="FFFFFF"/>
        </w:rPr>
        <w:t xml:space="preserve"> (fratello del pittore) e lo scultore</w:t>
      </w:r>
      <w:r w:rsidRPr="00265C2B">
        <w:rPr>
          <w:rStyle w:val="apple-converted-space"/>
          <w:rFonts w:cs="Arial"/>
          <w:shd w:val="clear" w:color="auto" w:fill="FFFFFF"/>
        </w:rPr>
        <w:t> </w:t>
      </w:r>
      <w:r w:rsidRPr="00265C2B">
        <w:rPr>
          <w:rFonts w:cs="Arial"/>
          <w:shd w:val="clear" w:color="auto" w:fill="FFFFFF"/>
        </w:rPr>
        <w:t>olandese</w:t>
      </w:r>
      <w:r w:rsidRPr="00265C2B">
        <w:t xml:space="preserve"> </w:t>
      </w:r>
      <w:r w:rsidRPr="00265C2B">
        <w:rPr>
          <w:rFonts w:cs="Arial"/>
          <w:b/>
          <w:shd w:val="clear" w:color="auto" w:fill="FFFFFF"/>
        </w:rPr>
        <w:t>Ferdinand Leenhoff</w:t>
      </w:r>
      <w:r w:rsidRPr="00265C2B">
        <w:rPr>
          <w:rFonts w:cs="Arial"/>
          <w:shd w:val="clear" w:color="auto" w:fill="FFFFFF"/>
        </w:rPr>
        <w:t>, amico di Manet. Nell'angolo in basso a sinistra, giacciono i vestiti delle donne e la colazione da cui l'opera prende il titolo.</w:t>
      </w:r>
    </w:p>
    <w:p w:rsidR="007D1107" w:rsidRPr="00265C2B" w:rsidRDefault="007D1107" w:rsidP="00F12356">
      <w:pPr>
        <w:ind w:left="708"/>
        <w:jc w:val="both"/>
        <w:rPr>
          <w:b/>
        </w:rPr>
      </w:pP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7D1107" w:rsidRDefault="007D1107" w:rsidP="007D1107">
      <w:pPr>
        <w:pStyle w:val="Paragrafoelenco"/>
        <w:ind w:left="1080"/>
        <w:jc w:val="both"/>
      </w:pPr>
    </w:p>
    <w:p w:rsidR="007D1107" w:rsidRDefault="007D1107" w:rsidP="007D1107">
      <w:pPr>
        <w:pStyle w:val="Paragrafoelenco"/>
        <w:ind w:left="1080"/>
        <w:jc w:val="both"/>
      </w:pPr>
      <w:r>
        <w:t xml:space="preserve">Quando nel 1863 Edouard Manet dipinse “La colazione sull’erba”, intendeva semplicemente reinterpretare in chiave moderna un tema caro alla pittura rinascimentale. </w:t>
      </w:r>
    </w:p>
    <w:p w:rsidR="00B34CD1" w:rsidRDefault="007D1107" w:rsidP="00DE7446">
      <w:pPr>
        <w:pStyle w:val="Paragrafoelenco"/>
        <w:ind w:left="1080"/>
        <w:jc w:val="both"/>
        <w:rPr>
          <w:rFonts w:cs="Arial"/>
          <w:shd w:val="clear" w:color="auto" w:fill="FFFFFF"/>
        </w:rPr>
      </w:pPr>
      <w:r w:rsidRPr="0094027E">
        <w:rPr>
          <w:rFonts w:cs="Arial"/>
          <w:shd w:val="clear" w:color="auto" w:fill="FFFFFF"/>
        </w:rPr>
        <w:t>L'opera venne concepita dopo aver ammirato il</w:t>
      </w:r>
      <w:r w:rsidRPr="0094027E">
        <w:rPr>
          <w:rStyle w:val="apple-converted-space"/>
          <w:rFonts w:cs="Arial"/>
          <w:shd w:val="clear" w:color="auto" w:fill="FFFFFF"/>
        </w:rPr>
        <w:t> “</w:t>
      </w:r>
      <w:r w:rsidRPr="0094027E">
        <w:rPr>
          <w:rFonts w:cs="Arial"/>
          <w:b/>
          <w:i/>
          <w:iCs/>
          <w:shd w:val="clear" w:color="auto" w:fill="FFFFFF"/>
        </w:rPr>
        <w:t>Concerto campestre</w:t>
      </w:r>
      <w:r w:rsidRPr="0094027E">
        <w:rPr>
          <w:rFonts w:cs="Arial"/>
          <w:iCs/>
          <w:shd w:val="clear" w:color="auto" w:fill="FFFFFF"/>
        </w:rPr>
        <w:t>”</w:t>
      </w:r>
      <w:r w:rsidR="0094027E" w:rsidRPr="0094027E">
        <w:rPr>
          <w:rFonts w:cs="Arial"/>
          <w:iCs/>
          <w:shd w:val="clear" w:color="auto" w:fill="FFFFFF"/>
        </w:rPr>
        <w:t>(1510)</w:t>
      </w:r>
      <w:r w:rsidRPr="0094027E">
        <w:rPr>
          <w:rFonts w:cs="Arial"/>
          <w:shd w:val="clear" w:color="auto" w:fill="FFFFFF"/>
        </w:rPr>
        <w:t xml:space="preserve"> di</w:t>
      </w:r>
      <w:r w:rsidRPr="0094027E">
        <w:rPr>
          <w:rStyle w:val="apple-converted-space"/>
          <w:rFonts w:cs="Arial"/>
          <w:shd w:val="clear" w:color="auto" w:fill="FFFFFF"/>
        </w:rPr>
        <w:t> </w:t>
      </w:r>
      <w:r w:rsidRPr="0094027E">
        <w:rPr>
          <w:rFonts w:cs="Arial"/>
          <w:b/>
          <w:shd w:val="clear" w:color="auto" w:fill="FFFFFF"/>
        </w:rPr>
        <w:t>Tiziano</w:t>
      </w:r>
      <w:r w:rsidRPr="0094027E">
        <w:rPr>
          <w:rStyle w:val="apple-converted-space"/>
          <w:rFonts w:cs="Arial"/>
          <w:shd w:val="clear" w:color="auto" w:fill="FFFFFF"/>
        </w:rPr>
        <w:t> </w:t>
      </w:r>
      <w:r w:rsidRPr="0094027E">
        <w:rPr>
          <w:rFonts w:cs="Arial"/>
          <w:shd w:val="clear" w:color="auto" w:fill="FFFFFF"/>
        </w:rPr>
        <w:t>al</w:t>
      </w:r>
      <w:r w:rsidRPr="0094027E">
        <w:rPr>
          <w:rStyle w:val="apple-converted-space"/>
          <w:rFonts w:cs="Arial"/>
          <w:shd w:val="clear" w:color="auto" w:fill="FFFFFF"/>
        </w:rPr>
        <w:t> </w:t>
      </w:r>
      <w:r w:rsidRPr="0094027E">
        <w:rPr>
          <w:rFonts w:cs="Arial"/>
          <w:shd w:val="clear" w:color="auto" w:fill="FFFFFF"/>
        </w:rPr>
        <w:t>Louvre:</w:t>
      </w:r>
    </w:p>
    <w:p w:rsidR="00DE7446" w:rsidRPr="00DE7446" w:rsidRDefault="00DE7446" w:rsidP="00DE7446">
      <w:pPr>
        <w:pStyle w:val="Paragrafoelenco"/>
        <w:ind w:left="1080"/>
        <w:jc w:val="both"/>
        <w:rPr>
          <w:rFonts w:cs="Arial"/>
          <w:shd w:val="clear" w:color="auto" w:fill="FFFFFF"/>
        </w:rPr>
      </w:pPr>
    </w:p>
    <w:p w:rsidR="00B34CD1" w:rsidRPr="007D1107" w:rsidRDefault="00B34CD1" w:rsidP="007D1107">
      <w:pPr>
        <w:pStyle w:val="Paragrafoelenco"/>
        <w:ind w:left="1080"/>
        <w:jc w:val="center"/>
      </w:pPr>
    </w:p>
    <w:p w:rsidR="00627D5F" w:rsidRPr="00DE7446" w:rsidRDefault="00DE7446" w:rsidP="00DE7446">
      <w:pPr>
        <w:rPr>
          <w:b/>
        </w:rPr>
      </w:pPr>
      <w:r>
        <w:rPr>
          <w:b/>
        </w:rPr>
        <w:t xml:space="preserve">                               </w:t>
      </w:r>
      <w:r w:rsidR="007D1107">
        <w:rPr>
          <w:noProof/>
          <w:lang w:eastAsia="it-IT"/>
        </w:rPr>
        <w:drawing>
          <wp:inline distT="0" distB="0" distL="0" distR="0">
            <wp:extent cx="4535614" cy="3650876"/>
            <wp:effectExtent l="19050" t="0" r="0" b="0"/>
            <wp:docPr id="2" name="Immagine 2" descr="C:\Users\Giacomo\Desktop\Fiesta_campes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Fiesta_campest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906" cy="36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CD1" w:rsidRPr="00DE7446" w:rsidRDefault="0094027E" w:rsidP="00DE7446">
      <w:pPr>
        <w:pStyle w:val="Paragrafoelenco"/>
        <w:ind w:left="1080"/>
        <w:jc w:val="both"/>
        <w:rPr>
          <w:b/>
        </w:rPr>
      </w:pPr>
      <w:r w:rsidRPr="0094027E">
        <w:rPr>
          <w:b/>
        </w:rPr>
        <w:tab/>
      </w:r>
    </w:p>
    <w:p w:rsidR="0094027E" w:rsidRDefault="0094027E" w:rsidP="00627D5F">
      <w:pPr>
        <w:pStyle w:val="Paragrafoelenco"/>
        <w:ind w:left="1080"/>
        <w:jc w:val="both"/>
        <w:rPr>
          <w:rFonts w:cs="Arial"/>
          <w:shd w:val="clear" w:color="auto" w:fill="FFFFFF"/>
        </w:rPr>
      </w:pPr>
      <w:r w:rsidRPr="0094027E">
        <w:rPr>
          <w:rFonts w:cs="Arial"/>
          <w:shd w:val="clear" w:color="auto" w:fill="FFFFFF"/>
        </w:rPr>
        <w:t>Il dipinto venne esposto al</w:t>
      </w:r>
      <w:r w:rsidRPr="0094027E">
        <w:rPr>
          <w:rStyle w:val="apple-converted-space"/>
          <w:rFonts w:cs="Arial"/>
          <w:shd w:val="clear" w:color="auto" w:fill="FFFFFF"/>
        </w:rPr>
        <w:t> </w:t>
      </w:r>
      <w:r w:rsidRPr="0094027E">
        <w:rPr>
          <w:rFonts w:cs="Arial"/>
          <w:b/>
          <w:shd w:val="clear" w:color="auto" w:fill="FFFFFF"/>
        </w:rPr>
        <w:t>Salon des Refusés</w:t>
      </w:r>
      <w:r w:rsidRPr="0094027E">
        <w:rPr>
          <w:rStyle w:val="apple-converted-space"/>
          <w:rFonts w:cs="Arial"/>
          <w:shd w:val="clear" w:color="auto" w:fill="FFFFFF"/>
        </w:rPr>
        <w:t> </w:t>
      </w:r>
      <w:r w:rsidRPr="0094027E">
        <w:rPr>
          <w:rFonts w:cs="Arial"/>
          <w:shd w:val="clear" w:color="auto" w:fill="FFFFFF"/>
        </w:rPr>
        <w:t xml:space="preserve">nel 1863, dopo essere stato rifiutato al </w:t>
      </w:r>
      <w:r w:rsidRPr="0094027E">
        <w:rPr>
          <w:rFonts w:cs="Arial"/>
          <w:b/>
          <w:shd w:val="clear" w:color="auto" w:fill="FFFFFF"/>
        </w:rPr>
        <w:t>Salon ufficiale</w:t>
      </w:r>
      <w:r w:rsidRPr="0094027E">
        <w:rPr>
          <w:rFonts w:cs="Arial"/>
          <w:shd w:val="clear" w:color="auto" w:fill="FFFFFF"/>
        </w:rPr>
        <w:t>, provocando uno scandalo. L'accoglienza non fu, infatti, delle più miti: numerosi critici considerarono l'opera volgare, trattandosi di nudi femminili in libertà in compagnia di giovanotti borghesi</w:t>
      </w:r>
      <w:r>
        <w:rPr>
          <w:rFonts w:cs="Arial"/>
          <w:shd w:val="clear" w:color="auto" w:fill="FFFFFF"/>
        </w:rPr>
        <w:t xml:space="preserve"> e non, come nel quadro di Tiziano, di ninfe rappresentate secondo i canoni della pittura classica</w:t>
      </w:r>
      <w:r w:rsidRPr="0094027E">
        <w:rPr>
          <w:rFonts w:cs="Arial"/>
          <w:shd w:val="clear" w:color="auto" w:fill="FFFFFF"/>
        </w:rPr>
        <w:t xml:space="preserve">. </w:t>
      </w:r>
    </w:p>
    <w:p w:rsidR="0094027E" w:rsidRDefault="0094027E" w:rsidP="00627D5F">
      <w:pPr>
        <w:pStyle w:val="Paragrafoelenco"/>
        <w:ind w:left="1080"/>
        <w:jc w:val="both"/>
        <w:rPr>
          <w:rFonts w:cs="Arial"/>
          <w:shd w:val="clear" w:color="auto" w:fill="FFFFFF"/>
        </w:rPr>
      </w:pPr>
      <w:r w:rsidRPr="0094027E">
        <w:rPr>
          <w:rFonts w:cs="Arial"/>
          <w:shd w:val="clear" w:color="auto" w:fill="FFFFFF"/>
        </w:rPr>
        <w:t xml:space="preserve">Ma non fu solo il soggetto a sollevare lo sdegno degli osservatori: anche la </w:t>
      </w:r>
      <w:r w:rsidRPr="0094027E">
        <w:rPr>
          <w:rFonts w:cs="Arial"/>
          <w:b/>
          <w:shd w:val="clear" w:color="auto" w:fill="FFFFFF"/>
        </w:rPr>
        <w:t>modernità nello stile</w:t>
      </w:r>
      <w:r w:rsidRPr="0094027E">
        <w:rPr>
          <w:rFonts w:cs="Arial"/>
          <w:shd w:val="clear" w:color="auto" w:fill="FFFFFF"/>
        </w:rPr>
        <w:t>, dal punto di vista cromatico e compositivo, venne aspramente criticata a Manet.</w:t>
      </w:r>
    </w:p>
    <w:p w:rsidR="00965A9D" w:rsidRPr="0094027E" w:rsidRDefault="00965A9D" w:rsidP="00627D5F">
      <w:pPr>
        <w:pStyle w:val="Paragrafoelenco"/>
        <w:ind w:left="1080"/>
        <w:jc w:val="both"/>
        <w:rPr>
          <w:b/>
        </w:rPr>
      </w:pPr>
      <w:r>
        <w:rPr>
          <w:rFonts w:cs="Arial"/>
          <w:shd w:val="clear" w:color="auto" w:fill="FFFFFF"/>
        </w:rPr>
        <w:t>Infatti, proprio per questa palese volontà di mettere in discussione i canoni classici della pittura dell’Ottocento da parte di un pittore accademico dell’importanza di Manet, nonché per il modo di trattare la luce e il colore, il quadro in questione è stato considerato universalmente il “</w:t>
      </w:r>
      <w:r w:rsidRPr="00965A9D">
        <w:rPr>
          <w:rFonts w:cs="Arial"/>
          <w:b/>
          <w:shd w:val="clear" w:color="auto" w:fill="FFFFFF"/>
        </w:rPr>
        <w:t>manifesto</w:t>
      </w:r>
      <w:r>
        <w:rPr>
          <w:rFonts w:cs="Arial"/>
          <w:shd w:val="clear" w:color="auto" w:fill="FFFFFF"/>
        </w:rPr>
        <w:t>” dell</w:t>
      </w:r>
      <w:r w:rsidR="00B34CD1">
        <w:rPr>
          <w:rFonts w:cs="Arial"/>
          <w:shd w:val="clear" w:color="auto" w:fill="FFFFFF"/>
        </w:rPr>
        <w:t>a pittura i</w:t>
      </w:r>
      <w:r>
        <w:rPr>
          <w:rFonts w:cs="Arial"/>
          <w:shd w:val="clear" w:color="auto" w:fill="FFFFFF"/>
        </w:rPr>
        <w:t>mpressionista.</w:t>
      </w:r>
    </w:p>
    <w:p w:rsidR="0094027E" w:rsidRDefault="0094027E" w:rsidP="00627D5F">
      <w:pPr>
        <w:pStyle w:val="Paragrafoelenco"/>
        <w:ind w:left="1080"/>
        <w:jc w:val="both"/>
        <w:rPr>
          <w:b/>
        </w:rPr>
      </w:pPr>
    </w:p>
    <w:p w:rsidR="00B34CD1" w:rsidRDefault="00B34CD1" w:rsidP="000E1B6F">
      <w:pPr>
        <w:jc w:val="both"/>
        <w:rPr>
          <w:b/>
        </w:rPr>
      </w:pPr>
    </w:p>
    <w:p w:rsidR="00DE7446" w:rsidRDefault="00DE7446" w:rsidP="000E1B6F">
      <w:pPr>
        <w:jc w:val="both"/>
        <w:rPr>
          <w:b/>
        </w:rPr>
      </w:pPr>
    </w:p>
    <w:p w:rsidR="00B34CD1" w:rsidRDefault="00B34CD1" w:rsidP="00627D5F">
      <w:pPr>
        <w:pStyle w:val="Paragrafoelenco"/>
        <w:ind w:left="1080"/>
        <w:jc w:val="both"/>
        <w:rPr>
          <w:b/>
        </w:rPr>
      </w:pPr>
    </w:p>
    <w:p w:rsidR="00DE7446" w:rsidRDefault="00DE7446" w:rsidP="00627D5F">
      <w:pPr>
        <w:pStyle w:val="Paragrafoelenco"/>
        <w:ind w:left="1080"/>
        <w:jc w:val="both"/>
        <w:rPr>
          <w:b/>
        </w:rPr>
      </w:pPr>
    </w:p>
    <w:p w:rsidR="00B34CD1" w:rsidRDefault="00B34CD1" w:rsidP="004A2A57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4A2A57" w:rsidRPr="004A2A57" w:rsidRDefault="004A2A57" w:rsidP="004A2A57">
      <w:pPr>
        <w:pStyle w:val="Paragrafoelenco"/>
        <w:ind w:left="1080"/>
        <w:jc w:val="both"/>
        <w:rPr>
          <w:b/>
        </w:rPr>
      </w:pPr>
    </w:p>
    <w:p w:rsidR="004A2A57" w:rsidRDefault="004A2A57" w:rsidP="00F90653">
      <w:pPr>
        <w:ind w:left="708"/>
        <w:jc w:val="both"/>
        <w:rPr>
          <w:rFonts w:cs="Arial"/>
          <w:shd w:val="clear" w:color="auto" w:fill="FFFFFF"/>
        </w:rPr>
      </w:pPr>
      <w:r w:rsidRPr="00F90653">
        <w:rPr>
          <w:rFonts w:cs="Arial"/>
          <w:shd w:val="clear" w:color="auto" w:fill="FFFFFF"/>
        </w:rPr>
        <w:t xml:space="preserve">Manet infatti, utilizzò </w:t>
      </w:r>
      <w:r w:rsidRPr="00F90653">
        <w:rPr>
          <w:rFonts w:cs="Arial"/>
          <w:b/>
          <w:shd w:val="clear" w:color="auto" w:fill="FFFFFF"/>
        </w:rPr>
        <w:t>colori caldi</w:t>
      </w:r>
      <w:r w:rsidRPr="00F90653">
        <w:rPr>
          <w:rFonts w:cs="Arial"/>
          <w:shd w:val="clear" w:color="auto" w:fill="FFFFFF"/>
        </w:rPr>
        <w:t xml:space="preserve"> giustapposti a quelli </w:t>
      </w:r>
      <w:r w:rsidRPr="00F90653">
        <w:rPr>
          <w:rFonts w:cs="Arial"/>
          <w:b/>
          <w:shd w:val="clear" w:color="auto" w:fill="FFFFFF"/>
        </w:rPr>
        <w:t>freddi</w:t>
      </w:r>
      <w:r w:rsidRPr="00F90653">
        <w:rPr>
          <w:rFonts w:cs="Arial"/>
          <w:shd w:val="clear" w:color="auto" w:fill="FFFFFF"/>
        </w:rPr>
        <w:t xml:space="preserve"> per accentuare la loro vivacità. Si veda, per esempio, la natura morta in basso a desta della tela.</w:t>
      </w:r>
    </w:p>
    <w:p w:rsidR="00F90653" w:rsidRPr="00F90653" w:rsidRDefault="00F90653" w:rsidP="00F90653">
      <w:pPr>
        <w:ind w:left="708"/>
        <w:jc w:val="both"/>
        <w:rPr>
          <w:rFonts w:cs="Arial"/>
          <w:shd w:val="clear" w:color="auto" w:fill="FFFFFF"/>
        </w:rPr>
      </w:pPr>
    </w:p>
    <w:p w:rsidR="004A2A57" w:rsidRPr="00F90653" w:rsidRDefault="004A2A57" w:rsidP="00F90653">
      <w:pPr>
        <w:ind w:left="708"/>
        <w:jc w:val="both"/>
        <w:rPr>
          <w:rFonts w:cs="Arial"/>
          <w:shd w:val="clear" w:color="auto" w:fill="FFFFFF"/>
        </w:rPr>
      </w:pPr>
      <w:r w:rsidRPr="00F90653">
        <w:rPr>
          <w:rFonts w:cs="Arial"/>
          <w:shd w:val="clear" w:color="auto" w:fill="FFFFFF"/>
        </w:rPr>
        <w:t xml:space="preserve">Il </w:t>
      </w:r>
      <w:r w:rsidRPr="00F90653">
        <w:rPr>
          <w:rFonts w:cs="Arial"/>
          <w:b/>
          <w:shd w:val="clear" w:color="auto" w:fill="FFFFFF"/>
        </w:rPr>
        <w:t>colore</w:t>
      </w:r>
      <w:r w:rsidRPr="00F90653">
        <w:rPr>
          <w:rFonts w:cs="Arial"/>
          <w:shd w:val="clear" w:color="auto" w:fill="FFFFFF"/>
        </w:rPr>
        <w:t xml:space="preserve"> fu steso tramite </w:t>
      </w:r>
      <w:r w:rsidRPr="00F90653">
        <w:rPr>
          <w:rFonts w:cs="Arial"/>
          <w:b/>
          <w:shd w:val="clear" w:color="auto" w:fill="FFFFFF"/>
        </w:rPr>
        <w:t>pennellate rapide e veloci</w:t>
      </w:r>
      <w:r w:rsidRPr="00F90653">
        <w:rPr>
          <w:rFonts w:cs="Arial"/>
          <w:shd w:val="clear" w:color="auto" w:fill="FFFFFF"/>
        </w:rPr>
        <w:t>. Si può notare sullo sfondo del bosco in particolare, alle spalle della seconda modella che si sta bagnando.</w:t>
      </w:r>
    </w:p>
    <w:p w:rsidR="004A2A57" w:rsidRDefault="004A2A57" w:rsidP="00627D5F">
      <w:pPr>
        <w:pStyle w:val="Paragrafoelenco"/>
        <w:ind w:left="1080"/>
        <w:jc w:val="both"/>
        <w:rPr>
          <w:rFonts w:cs="Arial"/>
          <w:shd w:val="clear" w:color="auto" w:fill="FFFFFF"/>
        </w:rPr>
      </w:pPr>
    </w:p>
    <w:p w:rsidR="00B34CD1" w:rsidRPr="00F90653" w:rsidRDefault="004A2A57" w:rsidP="00F90653">
      <w:pPr>
        <w:ind w:left="708"/>
        <w:jc w:val="both"/>
        <w:rPr>
          <w:rFonts w:cs="Arial"/>
          <w:shd w:val="clear" w:color="auto" w:fill="FFFFFF"/>
        </w:rPr>
      </w:pPr>
      <w:r w:rsidRPr="00F90653">
        <w:rPr>
          <w:rFonts w:cs="Arial"/>
          <w:shd w:val="clear" w:color="auto" w:fill="FFFFFF"/>
        </w:rPr>
        <w:t xml:space="preserve">La </w:t>
      </w:r>
      <w:r w:rsidRPr="00F90653">
        <w:rPr>
          <w:rFonts w:cs="Arial"/>
          <w:b/>
          <w:shd w:val="clear" w:color="auto" w:fill="FFFFFF"/>
        </w:rPr>
        <w:t>prospettiva</w:t>
      </w:r>
      <w:r w:rsidRPr="00F90653">
        <w:rPr>
          <w:rFonts w:cs="Arial"/>
          <w:shd w:val="clear" w:color="auto" w:fill="FFFFFF"/>
        </w:rPr>
        <w:t xml:space="preserve"> non venne utilizzata in modo classico, anzi, sembrò quasi che i personaggi fossero stati incollati sul paesaggio; uno sfondo prospettico venne dato solo dalla presenza di alberi.</w:t>
      </w:r>
    </w:p>
    <w:p w:rsidR="004A2A57" w:rsidRDefault="004A2A57" w:rsidP="00627D5F">
      <w:pPr>
        <w:pStyle w:val="Paragrafoelenco"/>
        <w:ind w:left="1080"/>
        <w:jc w:val="both"/>
        <w:rPr>
          <w:rFonts w:cs="Arial"/>
          <w:shd w:val="clear" w:color="auto" w:fill="FFFFFF"/>
        </w:rPr>
      </w:pPr>
    </w:p>
    <w:p w:rsidR="004A2A57" w:rsidRPr="00F90653" w:rsidRDefault="004A2A57" w:rsidP="00F90653">
      <w:pPr>
        <w:ind w:firstLine="708"/>
        <w:jc w:val="both"/>
        <w:rPr>
          <w:b/>
        </w:rPr>
      </w:pPr>
      <w:r w:rsidRPr="00F90653">
        <w:rPr>
          <w:rFonts w:cs="Arial"/>
          <w:shd w:val="clear" w:color="auto" w:fill="FFFFFF"/>
        </w:rPr>
        <w:t xml:space="preserve">I </w:t>
      </w:r>
      <w:r w:rsidRPr="00F90653">
        <w:rPr>
          <w:rFonts w:cs="Arial"/>
          <w:b/>
          <w:shd w:val="clear" w:color="auto" w:fill="FFFFFF"/>
        </w:rPr>
        <w:t>chiaroscuri</w:t>
      </w:r>
      <w:r w:rsidRPr="00F90653">
        <w:rPr>
          <w:rFonts w:cs="Arial"/>
          <w:shd w:val="clear" w:color="auto" w:fill="FFFFFF"/>
        </w:rPr>
        <w:t>, soprattutto sul corpo della modella nuda in primo piano sono volutamente assenti.</w:t>
      </w:r>
    </w:p>
    <w:p w:rsidR="00B34CD1" w:rsidRPr="004A2A57" w:rsidRDefault="00B34CD1" w:rsidP="00627D5F">
      <w:pPr>
        <w:pStyle w:val="Paragrafoelenco"/>
        <w:ind w:left="1080"/>
        <w:jc w:val="both"/>
        <w:rPr>
          <w:b/>
        </w:rPr>
      </w:pPr>
    </w:p>
    <w:p w:rsidR="004A2A57" w:rsidRPr="00F90653" w:rsidRDefault="004A2A57" w:rsidP="00F90653">
      <w:pPr>
        <w:ind w:left="708"/>
        <w:jc w:val="both"/>
        <w:rPr>
          <w:rFonts w:cs="Arial"/>
          <w:shd w:val="clear" w:color="auto" w:fill="FFFFFF"/>
        </w:rPr>
      </w:pPr>
      <w:r w:rsidRPr="00F90653">
        <w:rPr>
          <w:rFonts w:cs="Arial"/>
          <w:shd w:val="clear" w:color="auto" w:fill="FFFFFF"/>
        </w:rPr>
        <w:t xml:space="preserve">Nonostante </w:t>
      </w:r>
      <w:r w:rsidRPr="00F90653">
        <w:rPr>
          <w:rFonts w:cs="Arial"/>
          <w:b/>
          <w:shd w:val="clear" w:color="auto" w:fill="FFFFFF"/>
        </w:rPr>
        <w:t>l'impianto compositivo</w:t>
      </w:r>
      <w:r w:rsidRPr="00F90653">
        <w:rPr>
          <w:rFonts w:cs="Arial"/>
          <w:shd w:val="clear" w:color="auto" w:fill="FFFFFF"/>
        </w:rPr>
        <w:t xml:space="preserve"> sia di matrice classica, l'utilizzo di abiti moderni gettò scandalo, perché sembrava spogliasse l'opera d'arte dei suoi contenuti elevati. </w:t>
      </w:r>
    </w:p>
    <w:p w:rsidR="004A2A57" w:rsidRDefault="004A2A57" w:rsidP="004A2A57">
      <w:pPr>
        <w:pStyle w:val="Paragrafoelenco"/>
        <w:ind w:left="1080"/>
        <w:jc w:val="both"/>
        <w:rPr>
          <w:rFonts w:cs="Arial"/>
          <w:shd w:val="clear" w:color="auto" w:fill="FFFFFF"/>
        </w:rPr>
      </w:pPr>
    </w:p>
    <w:p w:rsidR="004A2A57" w:rsidRPr="00F90653" w:rsidRDefault="004A2A57" w:rsidP="00F90653">
      <w:pPr>
        <w:ind w:left="708"/>
        <w:jc w:val="both"/>
        <w:rPr>
          <w:rFonts w:cs="Arial"/>
          <w:shd w:val="clear" w:color="auto" w:fill="FFFFFF"/>
        </w:rPr>
      </w:pPr>
      <w:r w:rsidRPr="00F90653">
        <w:rPr>
          <w:rFonts w:cs="Arial"/>
          <w:shd w:val="clear" w:color="auto" w:fill="FFFFFF"/>
        </w:rPr>
        <w:t>Anche la differenza proporzionale tra la donna sullo sfondo e la barca ormeggiata alla destra venne considerata un'imperizia da parte del pittore: in realtà i morbidi contrasti cromatici e l'utilizzo della prospettiva aerea in chiave moderna inscrivono l'opera nei capolavori del</w:t>
      </w:r>
      <w:r w:rsidRPr="00F90653">
        <w:rPr>
          <w:rStyle w:val="apple-converted-space"/>
          <w:rFonts w:cs="Arial"/>
          <w:shd w:val="clear" w:color="auto" w:fill="FFFFFF"/>
        </w:rPr>
        <w:t> </w:t>
      </w:r>
      <w:r w:rsidRPr="00F90653">
        <w:rPr>
          <w:rFonts w:cs="Arial"/>
          <w:shd w:val="clear" w:color="auto" w:fill="FFFFFF"/>
        </w:rPr>
        <w:t>XIX secolo, con particolare riferimento, appunto, alla pittura impressionista.</w:t>
      </w:r>
    </w:p>
    <w:p w:rsidR="006871B4" w:rsidRPr="004A2A57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C1" w:rsidRDefault="003609C1" w:rsidP="004C4712">
      <w:pPr>
        <w:spacing w:after="0" w:line="240" w:lineRule="auto"/>
      </w:pPr>
      <w:r>
        <w:separator/>
      </w:r>
    </w:p>
  </w:endnote>
  <w:endnote w:type="continuationSeparator" w:id="0">
    <w:p w:rsidR="003609C1" w:rsidRDefault="003609C1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6417A0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4736E9" w:rsidRPr="004736E9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C1" w:rsidRDefault="003609C1" w:rsidP="004C4712">
      <w:pPr>
        <w:spacing w:after="0" w:line="240" w:lineRule="auto"/>
      </w:pPr>
      <w:r>
        <w:separator/>
      </w:r>
    </w:p>
  </w:footnote>
  <w:footnote w:type="continuationSeparator" w:id="0">
    <w:p w:rsidR="003609C1" w:rsidRDefault="003609C1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6417A0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4B1A97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figurative)- Scheda N°: E. Manet – “Colazione sull’erba”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6417A0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4B1A97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0123E"/>
    <w:multiLevelType w:val="hybridMultilevel"/>
    <w:tmpl w:val="28A6DA0C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6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0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9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1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0"/>
  </w:num>
  <w:num w:numId="4">
    <w:abstractNumId w:val="30"/>
  </w:num>
  <w:num w:numId="5">
    <w:abstractNumId w:val="9"/>
  </w:num>
  <w:num w:numId="6">
    <w:abstractNumId w:val="37"/>
  </w:num>
  <w:num w:numId="7">
    <w:abstractNumId w:val="18"/>
  </w:num>
  <w:num w:numId="8">
    <w:abstractNumId w:val="22"/>
  </w:num>
  <w:num w:numId="9">
    <w:abstractNumId w:val="21"/>
  </w:num>
  <w:num w:numId="10">
    <w:abstractNumId w:val="32"/>
  </w:num>
  <w:num w:numId="11">
    <w:abstractNumId w:val="10"/>
  </w:num>
  <w:num w:numId="12">
    <w:abstractNumId w:val="16"/>
  </w:num>
  <w:num w:numId="13">
    <w:abstractNumId w:val="44"/>
  </w:num>
  <w:num w:numId="14">
    <w:abstractNumId w:val="23"/>
  </w:num>
  <w:num w:numId="15">
    <w:abstractNumId w:val="15"/>
  </w:num>
  <w:num w:numId="16">
    <w:abstractNumId w:val="3"/>
  </w:num>
  <w:num w:numId="17">
    <w:abstractNumId w:val="27"/>
  </w:num>
  <w:num w:numId="18">
    <w:abstractNumId w:val="36"/>
  </w:num>
  <w:num w:numId="19">
    <w:abstractNumId w:val="11"/>
  </w:num>
  <w:num w:numId="20">
    <w:abstractNumId w:val="43"/>
  </w:num>
  <w:num w:numId="21">
    <w:abstractNumId w:val="39"/>
  </w:num>
  <w:num w:numId="22">
    <w:abstractNumId w:val="13"/>
  </w:num>
  <w:num w:numId="23">
    <w:abstractNumId w:val="12"/>
  </w:num>
  <w:num w:numId="24">
    <w:abstractNumId w:val="5"/>
  </w:num>
  <w:num w:numId="25">
    <w:abstractNumId w:val="4"/>
  </w:num>
  <w:num w:numId="26">
    <w:abstractNumId w:val="19"/>
  </w:num>
  <w:num w:numId="27">
    <w:abstractNumId w:val="38"/>
  </w:num>
  <w:num w:numId="28">
    <w:abstractNumId w:val="17"/>
  </w:num>
  <w:num w:numId="29">
    <w:abstractNumId w:val="8"/>
  </w:num>
  <w:num w:numId="30">
    <w:abstractNumId w:val="7"/>
  </w:num>
  <w:num w:numId="31">
    <w:abstractNumId w:val="29"/>
  </w:num>
  <w:num w:numId="32">
    <w:abstractNumId w:val="40"/>
  </w:num>
  <w:num w:numId="33">
    <w:abstractNumId w:val="26"/>
  </w:num>
  <w:num w:numId="34">
    <w:abstractNumId w:val="31"/>
  </w:num>
  <w:num w:numId="35">
    <w:abstractNumId w:val="6"/>
  </w:num>
  <w:num w:numId="36">
    <w:abstractNumId w:val="46"/>
  </w:num>
  <w:num w:numId="37">
    <w:abstractNumId w:val="45"/>
  </w:num>
  <w:num w:numId="38">
    <w:abstractNumId w:val="42"/>
  </w:num>
  <w:num w:numId="39">
    <w:abstractNumId w:val="2"/>
  </w:num>
  <w:num w:numId="40">
    <w:abstractNumId w:val="20"/>
  </w:num>
  <w:num w:numId="41">
    <w:abstractNumId w:val="34"/>
  </w:num>
  <w:num w:numId="42">
    <w:abstractNumId w:val="28"/>
  </w:num>
  <w:num w:numId="43">
    <w:abstractNumId w:val="33"/>
  </w:num>
  <w:num w:numId="44">
    <w:abstractNumId w:val="24"/>
  </w:num>
  <w:num w:numId="45">
    <w:abstractNumId w:val="14"/>
  </w:num>
  <w:num w:numId="46">
    <w:abstractNumId w:val="41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ocumentProtection w:edit="readOnly" w:enforcement="1" w:cryptProviderType="rsaFull" w:cryptAlgorithmClass="hash" w:cryptAlgorithmType="typeAny" w:cryptAlgorithmSid="4" w:cryptSpinCount="100000" w:hash="R6pVO/vXy1BJKcyHiOu3uGveidM=" w:salt="vg+8i/mc/7xowRE1U+d6WA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0E1B6F"/>
    <w:rsid w:val="00101FE8"/>
    <w:rsid w:val="0013067C"/>
    <w:rsid w:val="0016228B"/>
    <w:rsid w:val="00171B53"/>
    <w:rsid w:val="001C32C3"/>
    <w:rsid w:val="001E40E0"/>
    <w:rsid w:val="00203929"/>
    <w:rsid w:val="002065E7"/>
    <w:rsid w:val="00252EF0"/>
    <w:rsid w:val="00265C2B"/>
    <w:rsid w:val="00271D37"/>
    <w:rsid w:val="0029057E"/>
    <w:rsid w:val="002C3C2A"/>
    <w:rsid w:val="00311A0D"/>
    <w:rsid w:val="00311E98"/>
    <w:rsid w:val="00330B14"/>
    <w:rsid w:val="003609C1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714D3"/>
    <w:rsid w:val="004736E9"/>
    <w:rsid w:val="00485240"/>
    <w:rsid w:val="004A2A57"/>
    <w:rsid w:val="004B1A97"/>
    <w:rsid w:val="004C4712"/>
    <w:rsid w:val="004D71C9"/>
    <w:rsid w:val="00543828"/>
    <w:rsid w:val="0054655D"/>
    <w:rsid w:val="00551606"/>
    <w:rsid w:val="0055361D"/>
    <w:rsid w:val="00572D2A"/>
    <w:rsid w:val="005872B2"/>
    <w:rsid w:val="00597CE6"/>
    <w:rsid w:val="005A6C78"/>
    <w:rsid w:val="005F7332"/>
    <w:rsid w:val="00606FB6"/>
    <w:rsid w:val="00627D5F"/>
    <w:rsid w:val="006400FE"/>
    <w:rsid w:val="006417A0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1107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4027E"/>
    <w:rsid w:val="00956073"/>
    <w:rsid w:val="00965A9D"/>
    <w:rsid w:val="00982AB1"/>
    <w:rsid w:val="00994F03"/>
    <w:rsid w:val="009A2156"/>
    <w:rsid w:val="009F6023"/>
    <w:rsid w:val="00A236ED"/>
    <w:rsid w:val="00A30AA8"/>
    <w:rsid w:val="00A51B4B"/>
    <w:rsid w:val="00A56129"/>
    <w:rsid w:val="00A66805"/>
    <w:rsid w:val="00AA7A70"/>
    <w:rsid w:val="00AB1BA0"/>
    <w:rsid w:val="00AD0B3A"/>
    <w:rsid w:val="00AD223D"/>
    <w:rsid w:val="00B17927"/>
    <w:rsid w:val="00B308DE"/>
    <w:rsid w:val="00B34CD1"/>
    <w:rsid w:val="00B43560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E7446"/>
    <w:rsid w:val="00DF2840"/>
    <w:rsid w:val="00E8778B"/>
    <w:rsid w:val="00EB5B27"/>
    <w:rsid w:val="00EB7E6C"/>
    <w:rsid w:val="00F12356"/>
    <w:rsid w:val="00F24BC8"/>
    <w:rsid w:val="00F5426E"/>
    <w:rsid w:val="00F832DF"/>
    <w:rsid w:val="00F90653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customStyle="1" w:styleId="apple-converted-space">
    <w:name w:val="apple-converted-space"/>
    <w:basedOn w:val="Carpredefinitoparagrafo"/>
    <w:rsid w:val="00265C2B"/>
  </w:style>
  <w:style w:type="character" w:styleId="Collegamentoipertestuale">
    <w:name w:val="Hyperlink"/>
    <w:basedOn w:val="Carpredefinitoparagrafo"/>
    <w:uiPriority w:val="99"/>
    <w:semiHidden/>
    <w:unhideWhenUsed/>
    <w:rsid w:val="00265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263962"/>
    <w:rsid w:val="003F33AD"/>
    <w:rsid w:val="004E7D2A"/>
    <w:rsid w:val="005417E3"/>
    <w:rsid w:val="006E1930"/>
    <w:rsid w:val="0070016C"/>
    <w:rsid w:val="00852176"/>
    <w:rsid w:val="008F1592"/>
    <w:rsid w:val="00B2540E"/>
    <w:rsid w:val="00B71CB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E86976-1B7B-4607-956C-AC7A206A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520</Words>
  <Characters>2966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: E. Manet – “Colazione sull’erba”</dc:title>
  <dc:creator>Giacomo</dc:creator>
  <cp:lastModifiedBy>Giacomo</cp:lastModifiedBy>
  <cp:revision>44</cp:revision>
  <dcterms:created xsi:type="dcterms:W3CDTF">2013-11-05T15:07:00Z</dcterms:created>
  <dcterms:modified xsi:type="dcterms:W3CDTF">2014-06-13T06:21:00Z</dcterms:modified>
</cp:coreProperties>
</file>