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72" w:rsidRDefault="00103397" w:rsidP="006815A2"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686435</wp:posOffset>
            </wp:positionH>
            <wp:positionV relativeFrom="margin">
              <wp:posOffset>208915</wp:posOffset>
            </wp:positionV>
            <wp:extent cx="4823460" cy="5898515"/>
            <wp:effectExtent l="19050" t="0" r="0" b="0"/>
            <wp:wrapSquare wrapText="bothSides"/>
            <wp:docPr id="2" name="Immagine 1" descr="C:\Users\Giacomo\Desktop\warol- pollock Burri e fontana\lucio-fontana-concetto-spaziale-attese-1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Giacomo\Desktop\warol- pollock Burri e fontana\lucio-fontana-concetto-spaziale-attese-19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589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F72" w:rsidRDefault="00795F72" w:rsidP="006815A2"/>
    <w:p w:rsidR="00795F72" w:rsidRDefault="00795F72" w:rsidP="006815A2"/>
    <w:p w:rsidR="00795F72" w:rsidRDefault="00795F72" w:rsidP="006815A2"/>
    <w:p w:rsidR="00495823" w:rsidRDefault="00495823" w:rsidP="006815A2"/>
    <w:p w:rsidR="00795F72" w:rsidRDefault="00795F72" w:rsidP="006815A2"/>
    <w:p w:rsidR="00795F72" w:rsidRDefault="00795F72" w:rsidP="006815A2"/>
    <w:p w:rsidR="00795F72" w:rsidRDefault="00795F72" w:rsidP="006815A2"/>
    <w:p w:rsidR="00795F72" w:rsidRDefault="00795F72" w:rsidP="006815A2"/>
    <w:p w:rsidR="00795F72" w:rsidRDefault="00795F72" w:rsidP="006815A2"/>
    <w:p w:rsidR="00795F72" w:rsidRDefault="00795F72" w:rsidP="006815A2"/>
    <w:p w:rsidR="00795F72" w:rsidRDefault="00795F72" w:rsidP="006815A2"/>
    <w:p w:rsidR="00795F72" w:rsidRDefault="00795F72" w:rsidP="006815A2"/>
    <w:p w:rsidR="00795F72" w:rsidRDefault="00795F72" w:rsidP="006815A2"/>
    <w:p w:rsidR="00795F72" w:rsidRDefault="00795F72" w:rsidP="006815A2"/>
    <w:p w:rsidR="00795F72" w:rsidRDefault="00795F72" w:rsidP="006815A2"/>
    <w:p w:rsidR="00795F72" w:rsidRDefault="00795F72" w:rsidP="006815A2"/>
    <w:p w:rsidR="00795F72" w:rsidRDefault="00795F72" w:rsidP="006815A2"/>
    <w:p w:rsidR="00795F72" w:rsidRDefault="00795F72" w:rsidP="006815A2"/>
    <w:p w:rsidR="00795F72" w:rsidRPr="006815A2" w:rsidRDefault="00795F72" w:rsidP="006815A2"/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BD0F93">
        <w:t>“Concetto spaziale. Attese”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BD0F93">
        <w:t>Lucio Fontana</w:t>
      </w:r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BD0F93">
        <w:t>serie di opere concepite dal 1957 al 1961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BD0F93">
        <w:t>tagli con cutter su tela monocroma</w:t>
      </w:r>
    </w:p>
    <w:p w:rsidR="00816003" w:rsidRPr="00FE1A5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2A393E" w:rsidRPr="002A393E">
        <w:t>n.</w:t>
      </w:r>
      <w:r w:rsidR="002A393E">
        <w:t xml:space="preserve"> </w:t>
      </w:r>
      <w:r w:rsidR="002A393E" w:rsidRPr="002A393E">
        <w:t>p. (</w:t>
      </w:r>
      <w:r w:rsidR="002A393E">
        <w:t>non pervenute)</w:t>
      </w:r>
      <w:r w:rsidR="00BD0F93">
        <w:t xml:space="preserve"> </w:t>
      </w:r>
    </w:p>
    <w:p w:rsidR="00795F72" w:rsidRPr="00795F72" w:rsidRDefault="00816003" w:rsidP="00795F72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BD0F93">
        <w:t>Roma e Milano nella rispettiva “Galleria Nazionale di Arte Moderna”</w:t>
      </w:r>
    </w:p>
    <w:p w:rsidR="00795F72" w:rsidRPr="002A393E" w:rsidRDefault="00795F72" w:rsidP="00795F72">
      <w:pPr>
        <w:pStyle w:val="Paragrafoelenco"/>
        <w:jc w:val="both"/>
        <w:rPr>
          <w:b/>
        </w:rPr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795F72" w:rsidRPr="002A393E" w:rsidRDefault="00A431C9" w:rsidP="00795F72">
      <w:pPr>
        <w:ind w:left="708"/>
        <w:jc w:val="both"/>
      </w:pPr>
      <w:r w:rsidRPr="00A431C9">
        <w:t xml:space="preserve">Le </w:t>
      </w:r>
      <w:r w:rsidRPr="00F75173">
        <w:rPr>
          <w:b/>
          <w:i/>
        </w:rPr>
        <w:t>tele monocrome</w:t>
      </w:r>
      <w:r w:rsidRPr="00A431C9">
        <w:t xml:space="preserve"> </w:t>
      </w:r>
      <w:r w:rsidRPr="00F75173">
        <w:rPr>
          <w:b/>
          <w:i/>
        </w:rPr>
        <w:t>con tagli rettilinei</w:t>
      </w:r>
      <w:r w:rsidRPr="00A431C9">
        <w:t xml:space="preserve">, realizzate da Lucio Fontana negli anni Cinquanta, fanno parte di un </w:t>
      </w:r>
      <w:r w:rsidRPr="00F75173">
        <w:rPr>
          <w:b/>
          <w:i/>
        </w:rPr>
        <w:t>ciclo</w:t>
      </w:r>
      <w:r w:rsidRPr="00A431C9">
        <w:t xml:space="preserve"> di opere dal titolo </w:t>
      </w:r>
      <w:r w:rsidRPr="00F75173">
        <w:rPr>
          <w:b/>
          <w:i/>
        </w:rPr>
        <w:t>Concetto spaziale</w:t>
      </w:r>
      <w:r w:rsidRPr="00A431C9">
        <w:t>.</w:t>
      </w:r>
      <w:r>
        <w:t xml:space="preserve"> </w:t>
      </w:r>
      <w:r w:rsidRPr="00A431C9">
        <w:t xml:space="preserve">Sono opere caratterizzate da un unico taglio </w:t>
      </w:r>
      <w:r w:rsidRPr="00A431C9">
        <w:lastRenderedPageBreak/>
        <w:t>o da una serie di tagli verticali o leggermente obliqui, netti, decisi, con cui l’artista incide la tela monocroma. È un gesto perentorio</w:t>
      </w:r>
      <w:r w:rsidR="00C12CF3">
        <w:t>, deciso</w:t>
      </w:r>
      <w:r w:rsidRPr="00A431C9">
        <w:t>.</w:t>
      </w:r>
      <w:r w:rsidR="002A393E">
        <w:t xml:space="preserve"> </w:t>
      </w: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2A393E" w:rsidRDefault="002A393E" w:rsidP="002A393E">
      <w:pPr>
        <w:ind w:left="720"/>
        <w:jc w:val="both"/>
      </w:pPr>
      <w:r w:rsidRPr="002A393E">
        <w:t>Come dice il nome del movimento da lui stesso fondato, lo "</w:t>
      </w:r>
      <w:r w:rsidRPr="00C25041">
        <w:rPr>
          <w:b/>
          <w:i/>
        </w:rPr>
        <w:t>Spazialismo</w:t>
      </w:r>
      <w:r w:rsidRPr="002A393E">
        <w:t xml:space="preserve">", Fontana nelle sue opere punta l'attenzione sullo </w:t>
      </w:r>
      <w:r w:rsidRPr="00B13624">
        <w:rPr>
          <w:b/>
          <w:i/>
        </w:rPr>
        <w:t>spazio</w:t>
      </w:r>
      <w:r w:rsidRPr="002A393E">
        <w:t xml:space="preserve">, </w:t>
      </w:r>
      <w:r w:rsidRPr="00B13624">
        <w:rPr>
          <w:i/>
          <w:u w:val="single"/>
        </w:rPr>
        <w:t>inteso però non come vuoto, ma come materia</w:t>
      </w:r>
      <w:r w:rsidRPr="002A393E">
        <w:t>, mezzo per la realizzazione dell'opera.</w:t>
      </w:r>
      <w:r>
        <w:t xml:space="preserve"> </w:t>
      </w:r>
      <w:r w:rsidRPr="002A393E">
        <w:t xml:space="preserve">Nel 1949 esce il Primo manifesto dello spazialismo. </w:t>
      </w:r>
      <w:r w:rsidRPr="00B13624">
        <w:rPr>
          <w:b/>
          <w:i/>
        </w:rPr>
        <w:t>Lucio Fontana</w:t>
      </w:r>
      <w:r w:rsidRPr="002A393E">
        <w:t xml:space="preserve">, teorico e massimo esponente del movimento artistico italiano, </w:t>
      </w:r>
      <w:r w:rsidRPr="00B13624">
        <w:rPr>
          <w:b/>
          <w:i/>
        </w:rPr>
        <w:t>invoca</w:t>
      </w:r>
      <w:r w:rsidRPr="002A393E">
        <w:t xml:space="preserve"> </w:t>
      </w:r>
      <w:r w:rsidRPr="00B13624">
        <w:rPr>
          <w:b/>
          <w:i/>
        </w:rPr>
        <w:t>un cambiamento</w:t>
      </w:r>
      <w:r w:rsidRPr="002A393E">
        <w:t xml:space="preserve"> nell’essenza e nella forma dell’arte, il </w:t>
      </w:r>
      <w:r w:rsidRPr="00B13624">
        <w:rPr>
          <w:b/>
          <w:i/>
        </w:rPr>
        <w:t>superamento della pittura</w:t>
      </w:r>
      <w:r w:rsidRPr="002A393E">
        <w:t xml:space="preserve">, </w:t>
      </w:r>
      <w:r w:rsidRPr="00B13624">
        <w:rPr>
          <w:b/>
          <w:i/>
        </w:rPr>
        <w:t>della scultura</w:t>
      </w:r>
      <w:r w:rsidRPr="002A393E">
        <w:t>, della poesia. Poco dopo realizza i primi fori nelle tele. È a un passo dai famosi tagli, che compaiono nel 1957 e trovan</w:t>
      </w:r>
      <w:r w:rsidR="00B13624">
        <w:t xml:space="preserve">o la propria compiutezza, appunto, nella </w:t>
      </w:r>
      <w:r w:rsidRPr="002A393E">
        <w:t>serie di opere intitolate “</w:t>
      </w:r>
      <w:r w:rsidRPr="00B13624">
        <w:rPr>
          <w:b/>
          <w:i/>
        </w:rPr>
        <w:t>Concetto spaziale. Attese</w:t>
      </w:r>
      <w:r w:rsidRPr="002A393E">
        <w:t>”.</w:t>
      </w:r>
      <w:r>
        <w:t xml:space="preserve"> </w:t>
      </w:r>
      <w:r w:rsidRPr="00B13624">
        <w:rPr>
          <w:i/>
          <w:u w:val="single"/>
        </w:rPr>
        <w:t>Tagliando la tela, la alleggeriva della tensione permettendo all'osservatore di vedere lo spazio al di là da essa, creando una specie di senso di infinito</w:t>
      </w:r>
      <w:r w:rsidRPr="002A393E">
        <w:t>.</w:t>
      </w:r>
    </w:p>
    <w:p w:rsidR="002A393E" w:rsidRDefault="002A393E" w:rsidP="002A393E">
      <w:pPr>
        <w:ind w:left="720"/>
        <w:jc w:val="both"/>
      </w:pPr>
      <w:r>
        <w:t>La tela</w:t>
      </w:r>
      <w:r w:rsidRPr="002A393E">
        <w:t xml:space="preserve"> presenta uno stato d'animo non precisato, in cui all'inquietudine suggerita dai tagli netti si aggiunge un senso di squilibrio, di tensione e movimento.</w:t>
      </w:r>
    </w:p>
    <w:p w:rsidR="002A393E" w:rsidRDefault="002A393E" w:rsidP="002A393E">
      <w:pPr>
        <w:ind w:left="720"/>
        <w:jc w:val="both"/>
      </w:pPr>
      <w:r w:rsidRPr="002A393E">
        <w:t xml:space="preserve">A Fontana interessa il </w:t>
      </w:r>
      <w:r w:rsidRPr="006C119B">
        <w:rPr>
          <w:b/>
          <w:i/>
        </w:rPr>
        <w:t>segno gestuale</w:t>
      </w:r>
      <w:r w:rsidRPr="002A393E">
        <w:t xml:space="preserve"> sulla superficie e il suo valore grafico.</w:t>
      </w:r>
      <w:r w:rsidR="006C119B">
        <w:t xml:space="preserve"> Egli d</w:t>
      </w:r>
      <w:r>
        <w:t>ice:</w:t>
      </w:r>
    </w:p>
    <w:p w:rsidR="002A393E" w:rsidRDefault="002A393E" w:rsidP="002A393E">
      <w:pPr>
        <w:ind w:left="720"/>
        <w:jc w:val="both"/>
      </w:pPr>
      <w:r w:rsidRPr="002A393E">
        <w:t>“</w:t>
      </w:r>
      <w:r w:rsidRPr="006C119B">
        <w:rPr>
          <w:i/>
        </w:rPr>
        <w:t>Conta l’idea, basta un taglio</w:t>
      </w:r>
      <w:r w:rsidRPr="002A393E">
        <w:t>”.</w:t>
      </w:r>
      <w:r>
        <w:t xml:space="preserve"> </w:t>
      </w:r>
    </w:p>
    <w:p w:rsidR="002A393E" w:rsidRDefault="002A393E" w:rsidP="002A393E">
      <w:pPr>
        <w:ind w:left="720"/>
        <w:jc w:val="both"/>
      </w:pPr>
      <w:r>
        <w:t>Ed ancora, aggiunge:</w:t>
      </w:r>
    </w:p>
    <w:p w:rsidR="002A393E" w:rsidRPr="006C119B" w:rsidRDefault="002A393E" w:rsidP="002A393E">
      <w:pPr>
        <w:ind w:left="720"/>
        <w:jc w:val="both"/>
        <w:rPr>
          <w:i/>
        </w:rPr>
      </w:pPr>
      <w:r w:rsidRPr="006C119B">
        <w:rPr>
          <w:i/>
        </w:rPr>
        <w:t>"… Passa l'infinito di lì, passa la luce, non c'è bisogno di dipingere</w:t>
      </w:r>
      <w:r w:rsidR="006C119B" w:rsidRPr="006C119B">
        <w:rPr>
          <w:i/>
        </w:rPr>
        <w:t xml:space="preserve"> </w:t>
      </w:r>
      <w:r w:rsidRPr="006C119B">
        <w:rPr>
          <w:i/>
        </w:rPr>
        <w:t xml:space="preserve">…" </w:t>
      </w:r>
    </w:p>
    <w:p w:rsidR="00795F72" w:rsidRPr="002A393E" w:rsidRDefault="002A393E" w:rsidP="00795F72">
      <w:pPr>
        <w:ind w:left="720"/>
        <w:jc w:val="both"/>
      </w:pPr>
      <w:r>
        <w:t>(</w:t>
      </w:r>
      <w:r w:rsidRPr="006C119B">
        <w:rPr>
          <w:b/>
          <w:i/>
        </w:rPr>
        <w:t>L. Fontana</w:t>
      </w:r>
      <w:r w:rsidR="00795F72">
        <w:t>)</w:t>
      </w:r>
    </w:p>
    <w:p w:rsidR="004D71C9" w:rsidRPr="002A393E" w:rsidRDefault="00EB5B27" w:rsidP="004D71C9">
      <w:pPr>
        <w:pStyle w:val="Paragrafoelenco"/>
        <w:numPr>
          <w:ilvl w:val="0"/>
          <w:numId w:val="21"/>
        </w:numPr>
        <w:jc w:val="both"/>
      </w:pPr>
      <w:r w:rsidRPr="002A393E">
        <w:rPr>
          <w:b/>
        </w:rPr>
        <w:t>ANALISI DEGLI ELEMENTI DEL CODICE DEL LINGUAGGIO VISIVO USATO DALL’ARTISTA:</w:t>
      </w:r>
    </w:p>
    <w:p w:rsidR="002A393E" w:rsidRPr="004D71C9" w:rsidRDefault="002A393E" w:rsidP="002A393E">
      <w:pPr>
        <w:ind w:left="720"/>
        <w:jc w:val="both"/>
      </w:pPr>
      <w:r w:rsidRPr="002A393E">
        <w:t xml:space="preserve">Nelle sue tele, Fontana non si limita a lavorare con il </w:t>
      </w:r>
      <w:r w:rsidRPr="006C119B">
        <w:rPr>
          <w:b/>
          <w:i/>
        </w:rPr>
        <w:t>colore</w:t>
      </w:r>
      <w:r w:rsidRPr="002A393E">
        <w:t xml:space="preserve"> e materiali diversi, come gli altri artisti informali: egli buca o taglia letteralmente la tela, introducendo nell'opera, come elemento costitutivo di essa, accanto al colore e ai diversi materiali, anche lo </w:t>
      </w:r>
      <w:r w:rsidRPr="006C119B">
        <w:rPr>
          <w:b/>
          <w:i/>
        </w:rPr>
        <w:t>spazio</w:t>
      </w:r>
      <w:r w:rsidRPr="002A393E">
        <w:t xml:space="preserve"> che sta dietro.</w:t>
      </w:r>
      <w:r>
        <w:t xml:space="preserve"> </w:t>
      </w:r>
    </w:p>
    <w:p w:rsidR="006871B4" w:rsidRPr="006871B4" w:rsidRDefault="00103397" w:rsidP="006871B4">
      <w:pPr>
        <w:ind w:left="2124"/>
        <w:jc w:val="both"/>
        <w:rPr>
          <w:i/>
        </w:rPr>
      </w:pPr>
      <w:r>
        <w:rPr>
          <w:i/>
          <w:noProof/>
          <w:color w:val="FF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1526540</wp:posOffset>
            </wp:positionH>
            <wp:positionV relativeFrom="margin">
              <wp:posOffset>5928995</wp:posOffset>
            </wp:positionV>
            <wp:extent cx="2997200" cy="2931160"/>
            <wp:effectExtent l="19050" t="0" r="0" b="0"/>
            <wp:wrapSquare wrapText="bothSides"/>
            <wp:docPr id="6" name="Immagine 6" descr="4406938661Font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406938661Fontan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93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D4F" w:rsidRPr="00A66805" w:rsidRDefault="00DC1D4F" w:rsidP="00795F72">
      <w:pPr>
        <w:jc w:val="center"/>
        <w:rPr>
          <w:i/>
          <w:color w:val="FF0000"/>
        </w:rPr>
      </w:pP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795F72" w:rsidP="00795F72">
      <w:pPr>
        <w:pStyle w:val="Paragrafoelenco"/>
        <w:tabs>
          <w:tab w:val="left" w:pos="3803"/>
        </w:tabs>
        <w:ind w:left="1416"/>
        <w:jc w:val="both"/>
        <w:rPr>
          <w:i/>
          <w:color w:val="FF0000"/>
        </w:rPr>
      </w:pPr>
      <w:r>
        <w:rPr>
          <w:i/>
          <w:color w:val="FF0000"/>
        </w:rPr>
        <w:tab/>
      </w:r>
    </w:p>
    <w:sectPr w:rsidR="008D716A" w:rsidRPr="008D716A" w:rsidSect="00A30AA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EA2" w:rsidRDefault="004F5EA2" w:rsidP="004C4712">
      <w:pPr>
        <w:spacing w:after="0" w:line="240" w:lineRule="auto"/>
      </w:pPr>
      <w:r>
        <w:separator/>
      </w:r>
    </w:p>
  </w:endnote>
  <w:endnote w:type="continuationSeparator" w:id="0">
    <w:p w:rsidR="004F5EA2" w:rsidRDefault="004F5EA2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2276A8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" stroked="f" strokecolor="#943634">
            <v:fill color2="#943634"/>
            <v:textbox style="mso-next-textbox:#_x0000_s2055">
              <w:txbxContent>
                <w:p w:rsidR="005F7332" w:rsidRPr="00FC46A8" w:rsidRDefault="005F7332" w:rsidP="005F7332">
                  <w:pPr>
                    <w:pStyle w:val="Pidipagina"/>
                    <w:jc w:val="center"/>
                    <w:rPr>
                      <w:color w:val="FFFFFF"/>
                      <w:spacing w:val="60"/>
                    </w:rPr>
                  </w:pPr>
                  <w:r w:rsidRPr="00FC46A8">
                    <w:rPr>
                      <w:color w:val="FFFFFF"/>
                      <w:spacing w:val="60"/>
                    </w:rPr>
                    <w:t xml:space="preserve">Lezioni di Storia dell’Arte – prof.ssa Annamaria Donadio </w:t>
                  </w:r>
                </w:p>
                <w:p w:rsidR="005F7332" w:rsidRPr="00FC46A8" w:rsidRDefault="005F7332">
                  <w:pPr>
                    <w:pStyle w:val="Intestazione"/>
                    <w:rPr>
                      <w:color w:val="FFFFFF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" strokecolor="#f2f2f2" strokeweight="3pt">
            <v:shadow on="t" type="perspective" color="#4e6128" opacity=".5" offset="1pt" offset2="-1pt"/>
            <v:textbox style="mso-next-textbox:#_x0000_s2056">
              <w:txbxContent>
                <w:p w:rsidR="005F7332" w:rsidRPr="00FC46A8" w:rsidRDefault="005F7332">
                  <w:pPr>
                    <w:pStyle w:val="Pidipagina"/>
                    <w:rPr>
                      <w:color w:val="FFFFFF"/>
                    </w:rPr>
                  </w:pPr>
                  <w:r w:rsidRPr="00FC46A8">
                    <w:rPr>
                      <w:color w:val="FFFFFF"/>
                    </w:rPr>
                    <w:t xml:space="preserve">Pagina </w:t>
                  </w:r>
                  <w:fldSimple w:instr=" PAGE   \* MERGEFORMAT ">
                    <w:r w:rsidR="00103397" w:rsidRPr="00103397">
                      <w:rPr>
                        <w:noProof/>
                        <w:color w:val="FFFFFF"/>
                      </w:rPr>
                      <w:t>2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EA2" w:rsidRDefault="004F5EA2" w:rsidP="004C4712">
      <w:pPr>
        <w:spacing w:after="0" w:line="240" w:lineRule="auto"/>
      </w:pPr>
      <w:r>
        <w:separator/>
      </w:r>
    </w:p>
  </w:footnote>
  <w:footnote w:type="continuationSeparator" w:id="0">
    <w:p w:rsidR="004F5EA2" w:rsidRDefault="004F5EA2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2276A8">
    <w:pPr>
      <w:pStyle w:val="Intestazione"/>
    </w:pPr>
    <w:r>
      <w:rPr>
        <w:noProof/>
        <w:lang w:eastAsia="zh-TW"/>
      </w:rPr>
      <w:pict>
        <v:group id="_x0000_s2049" style="position:absolute;margin-left:15.65pt;margin-top:14.45pt;width:563.95pt;height:41.75pt;z-index:251657216;mso-width-percent:950;mso-position-horizontal-relative:page;mso-position-vertical-relative:page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" stroked="f" strokecolor="white" strokeweight="1.5pt">
            <v:textbox style="mso-next-textbox:#_x0000_s2050">
              <w:txbxContent>
                <w:p w:rsidR="004C4712" w:rsidRPr="00FC46A8" w:rsidRDefault="00330B14">
                  <w:pPr>
                    <w:pStyle w:val="Intestazione"/>
                    <w:rPr>
                      <w:color w:val="FFFFFF"/>
                      <w:sz w:val="28"/>
                      <w:szCs w:val="28"/>
                    </w:rPr>
                  </w:pPr>
                  <w:r w:rsidRPr="00FC46A8">
                    <w:rPr>
                      <w:color w:val="FFFFFF"/>
                      <w:sz w:val="28"/>
                      <w:szCs w:val="28"/>
                    </w:rPr>
                    <w:t>Lettura visiv</w:t>
                  </w:r>
                  <w:r w:rsidR="00495823" w:rsidRPr="00FC46A8">
                    <w:rPr>
                      <w:color w:val="FFFFFF"/>
                      <w:sz w:val="28"/>
                      <w:szCs w:val="28"/>
                    </w:rPr>
                    <w:t>a (arti figurative): L.Fontana – “Concetto spaziale</w:t>
                  </w:r>
                  <w:r w:rsidR="00BD0F93" w:rsidRPr="00FC46A8">
                    <w:rPr>
                      <w:color w:val="FFFFFF"/>
                      <w:sz w:val="28"/>
                      <w:szCs w:val="28"/>
                    </w:rPr>
                    <w:t>.</w:t>
                  </w:r>
                  <w:r w:rsidR="00495823" w:rsidRPr="00FC46A8">
                    <w:rPr>
                      <w:color w:val="FFFFFF"/>
                      <w:sz w:val="28"/>
                      <w:szCs w:val="28"/>
                    </w:rPr>
                    <w:t xml:space="preserve"> Attese”</w:t>
                  </w: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" stroked="f" strokecolor="white" strokeweight="2pt">
            <v:fill color2="#943634"/>
            <v:textbox style="mso-next-textbox:#_x0000_s2051">
              <w:txbxContent>
                <w:p w:rsidR="004C4712" w:rsidRPr="00FC46A8" w:rsidRDefault="007732DF">
                  <w:pPr>
                    <w:pStyle w:val="Intestazione"/>
                    <w:rPr>
                      <w:color w:val="FFFFFF"/>
                      <w:sz w:val="36"/>
                      <w:szCs w:val="36"/>
                    </w:rPr>
                  </w:pPr>
                  <w:r w:rsidRPr="00FC46A8">
                    <w:rPr>
                      <w:color w:val="FFFFFF"/>
                      <w:sz w:val="32"/>
                      <w:szCs w:val="36"/>
                    </w:rPr>
                    <w:t xml:space="preserve"> a.s.</w:t>
                  </w:r>
                  <w:r w:rsidR="00495823" w:rsidRPr="00FC46A8">
                    <w:rPr>
                      <w:color w:val="FFFFFF"/>
                      <w:sz w:val="32"/>
                      <w:szCs w:val="36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documentProtection w:edit="readOnly" w:enforcement="1" w:cryptProviderType="rsaFull" w:cryptAlgorithmClass="hash" w:cryptAlgorithmType="typeAny" w:cryptAlgorithmSid="4" w:cryptSpinCount="100000" w:hash="5xBv6yA9ZzjkG/wwITsYThxtRJ4=" w:salt="JHElVYPJ5aw00gF8x2CZVg=="/>
  <w:defaultTabStop w:val="708"/>
  <w:hyphenationZone w:val="283"/>
  <w:characterSpacingControl w:val="doNotCompress"/>
  <w:hdrShapeDefaults>
    <o:shapedefaults v:ext="edit" spidmax="16386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42E52"/>
    <w:rsid w:val="00051CEF"/>
    <w:rsid w:val="00070459"/>
    <w:rsid w:val="000A637C"/>
    <w:rsid w:val="000C1972"/>
    <w:rsid w:val="00101FE8"/>
    <w:rsid w:val="00103397"/>
    <w:rsid w:val="0013067C"/>
    <w:rsid w:val="0016228B"/>
    <w:rsid w:val="00171B53"/>
    <w:rsid w:val="001C32C3"/>
    <w:rsid w:val="001E40E0"/>
    <w:rsid w:val="00203929"/>
    <w:rsid w:val="002065E7"/>
    <w:rsid w:val="002276A8"/>
    <w:rsid w:val="002474B1"/>
    <w:rsid w:val="00252EF0"/>
    <w:rsid w:val="00271D37"/>
    <w:rsid w:val="0029057E"/>
    <w:rsid w:val="002A393E"/>
    <w:rsid w:val="002C3C2A"/>
    <w:rsid w:val="00311A0D"/>
    <w:rsid w:val="00311E98"/>
    <w:rsid w:val="00330B14"/>
    <w:rsid w:val="00390B35"/>
    <w:rsid w:val="00396E4B"/>
    <w:rsid w:val="003A47FD"/>
    <w:rsid w:val="003C1EFB"/>
    <w:rsid w:val="003D1B37"/>
    <w:rsid w:val="003D5FCA"/>
    <w:rsid w:val="003D6135"/>
    <w:rsid w:val="003E68F8"/>
    <w:rsid w:val="004636FA"/>
    <w:rsid w:val="00485240"/>
    <w:rsid w:val="00495823"/>
    <w:rsid w:val="004C4712"/>
    <w:rsid w:val="004D71C9"/>
    <w:rsid w:val="004E37FA"/>
    <w:rsid w:val="004F5EA2"/>
    <w:rsid w:val="00543828"/>
    <w:rsid w:val="0054655D"/>
    <w:rsid w:val="00551606"/>
    <w:rsid w:val="0055361D"/>
    <w:rsid w:val="00572D2A"/>
    <w:rsid w:val="005872B2"/>
    <w:rsid w:val="00597CE6"/>
    <w:rsid w:val="005F7332"/>
    <w:rsid w:val="00606FB6"/>
    <w:rsid w:val="00627D5F"/>
    <w:rsid w:val="006400FE"/>
    <w:rsid w:val="00645170"/>
    <w:rsid w:val="00664C39"/>
    <w:rsid w:val="0067191A"/>
    <w:rsid w:val="006815A2"/>
    <w:rsid w:val="006871B4"/>
    <w:rsid w:val="006A5578"/>
    <w:rsid w:val="006A560C"/>
    <w:rsid w:val="006C119B"/>
    <w:rsid w:val="006C53A2"/>
    <w:rsid w:val="006E1C96"/>
    <w:rsid w:val="006E7864"/>
    <w:rsid w:val="006F3E64"/>
    <w:rsid w:val="006F470A"/>
    <w:rsid w:val="00717EE1"/>
    <w:rsid w:val="00733669"/>
    <w:rsid w:val="00734384"/>
    <w:rsid w:val="00736E5C"/>
    <w:rsid w:val="0077265B"/>
    <w:rsid w:val="007732DF"/>
    <w:rsid w:val="00785F50"/>
    <w:rsid w:val="00795F72"/>
    <w:rsid w:val="007A11AA"/>
    <w:rsid w:val="007A7BFD"/>
    <w:rsid w:val="007B45D2"/>
    <w:rsid w:val="007D3D22"/>
    <w:rsid w:val="007F6047"/>
    <w:rsid w:val="00816003"/>
    <w:rsid w:val="008339A9"/>
    <w:rsid w:val="00836FA0"/>
    <w:rsid w:val="008466E8"/>
    <w:rsid w:val="00861A2B"/>
    <w:rsid w:val="008941EE"/>
    <w:rsid w:val="008A1DC4"/>
    <w:rsid w:val="008A4441"/>
    <w:rsid w:val="008B01A3"/>
    <w:rsid w:val="008B57F1"/>
    <w:rsid w:val="008D716A"/>
    <w:rsid w:val="008E75D2"/>
    <w:rsid w:val="00912B10"/>
    <w:rsid w:val="00917232"/>
    <w:rsid w:val="00956073"/>
    <w:rsid w:val="00982AB1"/>
    <w:rsid w:val="00994F03"/>
    <w:rsid w:val="009A2156"/>
    <w:rsid w:val="009F6023"/>
    <w:rsid w:val="00A30AA8"/>
    <w:rsid w:val="00A431C9"/>
    <w:rsid w:val="00A479F6"/>
    <w:rsid w:val="00A51B4B"/>
    <w:rsid w:val="00A56129"/>
    <w:rsid w:val="00A66805"/>
    <w:rsid w:val="00AA7A70"/>
    <w:rsid w:val="00AB1BA0"/>
    <w:rsid w:val="00AD0B3A"/>
    <w:rsid w:val="00AD223D"/>
    <w:rsid w:val="00B13624"/>
    <w:rsid w:val="00B17927"/>
    <w:rsid w:val="00B308DE"/>
    <w:rsid w:val="00B43560"/>
    <w:rsid w:val="00B75585"/>
    <w:rsid w:val="00B80E5F"/>
    <w:rsid w:val="00BD03AE"/>
    <w:rsid w:val="00BD0F93"/>
    <w:rsid w:val="00BD5130"/>
    <w:rsid w:val="00BD74AE"/>
    <w:rsid w:val="00BE5F04"/>
    <w:rsid w:val="00C12464"/>
    <w:rsid w:val="00C12CF3"/>
    <w:rsid w:val="00C25041"/>
    <w:rsid w:val="00C63868"/>
    <w:rsid w:val="00C814FD"/>
    <w:rsid w:val="00C92AD7"/>
    <w:rsid w:val="00CB2855"/>
    <w:rsid w:val="00CB7230"/>
    <w:rsid w:val="00D03E1D"/>
    <w:rsid w:val="00D93635"/>
    <w:rsid w:val="00D9509A"/>
    <w:rsid w:val="00DC1D4F"/>
    <w:rsid w:val="00DD10B8"/>
    <w:rsid w:val="00DD1C07"/>
    <w:rsid w:val="00DD4167"/>
    <w:rsid w:val="00DE365D"/>
    <w:rsid w:val="00DF2840"/>
    <w:rsid w:val="00E8778B"/>
    <w:rsid w:val="00EB5B27"/>
    <w:rsid w:val="00EB7E6C"/>
    <w:rsid w:val="00F24BC8"/>
    <w:rsid w:val="00F5426E"/>
    <w:rsid w:val="00F75173"/>
    <w:rsid w:val="00F832DF"/>
    <w:rsid w:val="00FA59B5"/>
    <w:rsid w:val="00FC46A8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083633-C675-4FF0-8AA4-D2727884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figurative): L.Fontana – “Concetto spaziale. Attese</vt:lpstr>
    </vt:vector>
  </TitlesOfParts>
  <Company>Lezioni di Storia dell’Arte - Prof.ssa Annamaria Donadio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figurative): L.Fontana – “Concetto spaziale. Attese</dc:title>
  <dc:creator>Giacomo</dc:creator>
  <cp:lastModifiedBy>Giacomo</cp:lastModifiedBy>
  <cp:revision>2</cp:revision>
  <dcterms:created xsi:type="dcterms:W3CDTF">2014-06-20T17:23:00Z</dcterms:created>
  <dcterms:modified xsi:type="dcterms:W3CDTF">2014-06-20T17:23:00Z</dcterms:modified>
</cp:coreProperties>
</file>