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12" w:rsidRDefault="005B3D42">
      <w:r w:rsidRPr="005B3D42"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7C29CC11" wp14:editId="6A8698F1">
            <wp:simplePos x="0" y="0"/>
            <wp:positionH relativeFrom="margin">
              <wp:posOffset>2540</wp:posOffset>
            </wp:positionH>
            <wp:positionV relativeFrom="margin">
              <wp:posOffset>136525</wp:posOffset>
            </wp:positionV>
            <wp:extent cx="3380740" cy="7807325"/>
            <wp:effectExtent l="0" t="0" r="0" b="0"/>
            <wp:wrapSquare wrapText="bothSides"/>
            <wp:docPr id="1" name="Immagine 1" descr="C:\Users\Annamaria\Desktop\scultura egizia\tut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a\Desktop\scultura egizia\tutm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E4CE"/>
                        </a:clrFrom>
                        <a:clrTo>
                          <a:srgbClr val="FFE4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78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5B3D42" w:rsidRDefault="005B3D42" w:rsidP="005B3D42">
      <w:pPr>
        <w:jc w:val="both"/>
      </w:pPr>
    </w:p>
    <w:p w:rsidR="005B3D42" w:rsidRDefault="005B3D42" w:rsidP="005B3D42">
      <w:pPr>
        <w:jc w:val="both"/>
      </w:pPr>
    </w:p>
    <w:p w:rsidR="005B3D42" w:rsidRDefault="005B3D42" w:rsidP="005B3D42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4C4712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5B3D42">
        <w:t xml:space="preserve"> Thutmosi III stante</w:t>
      </w:r>
      <w:r w:rsidR="007732DF">
        <w:rPr>
          <w:b/>
        </w:rPr>
        <w:t xml:space="preserve"> </w:t>
      </w:r>
    </w:p>
    <w:p w:rsidR="006B3259" w:rsidRDefault="004C4712" w:rsidP="006B3259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>Autore</w:t>
      </w:r>
      <w:r w:rsidR="007732DF" w:rsidRPr="00816003">
        <w:rPr>
          <w:b/>
        </w:rPr>
        <w:t xml:space="preserve">: </w:t>
      </w:r>
      <w:r w:rsidR="005B3D42">
        <w:t>anonimo</w:t>
      </w:r>
    </w:p>
    <w:p w:rsidR="005B3D42" w:rsidRPr="005B3D42" w:rsidRDefault="005B3D42" w:rsidP="006B3259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>
        <w:rPr>
          <w:b/>
        </w:rPr>
        <w:t xml:space="preserve">Datazione: </w:t>
      </w:r>
      <w:r>
        <w:t xml:space="preserve">1479/25 a.C. </w:t>
      </w:r>
    </w:p>
    <w:p w:rsidR="006B3259" w:rsidRDefault="005B3D42" w:rsidP="005B3D42">
      <w:pPr>
        <w:pStyle w:val="Paragrafoelenco"/>
        <w:jc w:val="both"/>
        <w:rPr>
          <w:i/>
          <w:color w:val="FF0000"/>
        </w:rPr>
      </w:pPr>
      <w:r>
        <w:rPr>
          <w:b/>
        </w:rPr>
        <w:t xml:space="preserve">              </w:t>
      </w:r>
      <w:r>
        <w:t>XVIII dinastia</w:t>
      </w:r>
    </w:p>
    <w:p w:rsidR="005B3D42" w:rsidRPr="005B3D42" w:rsidRDefault="00C12464" w:rsidP="00816ADD">
      <w:pPr>
        <w:pStyle w:val="Paragrafoelenco"/>
        <w:numPr>
          <w:ilvl w:val="0"/>
          <w:numId w:val="3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816ADD">
        <w:rPr>
          <w:b/>
        </w:rPr>
        <w:t>:</w:t>
      </w:r>
      <w:r w:rsidR="00D93635">
        <w:rPr>
          <w:b/>
          <w:i/>
        </w:rPr>
        <w:t xml:space="preserve"> </w:t>
      </w:r>
      <w:r w:rsidR="005B3D42">
        <w:t>statua a tutto</w:t>
      </w:r>
    </w:p>
    <w:p w:rsidR="00C12464" w:rsidRPr="005B3D42" w:rsidRDefault="005B3D42" w:rsidP="005B3D42">
      <w:pPr>
        <w:pStyle w:val="Paragrafoelenco"/>
        <w:jc w:val="both"/>
        <w:rPr>
          <w:i/>
          <w:color w:val="FF0000"/>
        </w:rPr>
      </w:pPr>
      <w:r>
        <w:t xml:space="preserve">               </w:t>
      </w:r>
      <w:r w:rsidR="00B331A8">
        <w:t>t</w:t>
      </w:r>
      <w:r>
        <w:t>ondo in granito</w:t>
      </w:r>
    </w:p>
    <w:p w:rsidR="005111EF" w:rsidRDefault="005111EF" w:rsidP="005111EF">
      <w:pPr>
        <w:pStyle w:val="Paragrafoelenco"/>
        <w:numPr>
          <w:ilvl w:val="0"/>
          <w:numId w:val="10"/>
        </w:numPr>
        <w:jc w:val="both"/>
        <w:rPr>
          <w:b/>
        </w:rPr>
      </w:pPr>
      <w:r w:rsidRPr="005111EF">
        <w:rPr>
          <w:b/>
        </w:rPr>
        <w:t xml:space="preserve">Dimensioni: </w:t>
      </w:r>
      <w:r w:rsidR="005B3D42" w:rsidRPr="005B3D42">
        <w:t>altezza</w:t>
      </w:r>
      <w:r w:rsidR="005B3D42">
        <w:t xml:space="preserve"> 90,5 cm</w:t>
      </w:r>
    </w:p>
    <w:p w:rsidR="005111EF" w:rsidRPr="005B3D42" w:rsidRDefault="00816003" w:rsidP="005111EF">
      <w:pPr>
        <w:pStyle w:val="Paragrafoelenco"/>
        <w:numPr>
          <w:ilvl w:val="0"/>
          <w:numId w:val="10"/>
        </w:numPr>
        <w:jc w:val="both"/>
        <w:rPr>
          <w:b/>
        </w:rPr>
      </w:pPr>
      <w:r w:rsidRPr="005111EF">
        <w:rPr>
          <w:b/>
        </w:rPr>
        <w:t>Collocazione attuale:</w:t>
      </w:r>
      <w:r w:rsidR="005B3D42">
        <w:rPr>
          <w:b/>
        </w:rPr>
        <w:t xml:space="preserve"> </w:t>
      </w:r>
      <w:r w:rsidR="005B3D42">
        <w:t>Luxor</w:t>
      </w:r>
    </w:p>
    <w:p w:rsidR="005B3D42" w:rsidRPr="005B3D42" w:rsidRDefault="005B3D42" w:rsidP="005B3D42">
      <w:pPr>
        <w:pStyle w:val="Paragrafoelenco"/>
        <w:jc w:val="both"/>
      </w:pPr>
      <w:r w:rsidRPr="005B3D42">
        <w:t xml:space="preserve">               Museo di Arte Antica</w:t>
      </w:r>
    </w:p>
    <w:p w:rsidR="00785F50" w:rsidRDefault="00785F50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5B3D42" w:rsidRDefault="005B3D42" w:rsidP="005111EF">
      <w:pPr>
        <w:pStyle w:val="Paragrafoelenco"/>
        <w:jc w:val="both"/>
        <w:rPr>
          <w:b/>
        </w:rPr>
      </w:pPr>
    </w:p>
    <w:p w:rsidR="00FC2A8C" w:rsidRDefault="00FC2A8C" w:rsidP="005111EF">
      <w:pPr>
        <w:pStyle w:val="Paragrafoelenco"/>
        <w:jc w:val="both"/>
        <w:rPr>
          <w:b/>
        </w:rPr>
      </w:pPr>
    </w:p>
    <w:p w:rsidR="00B17BA4" w:rsidRDefault="00B17BA4" w:rsidP="005111EF">
      <w:pPr>
        <w:pStyle w:val="Paragrafoelenco"/>
        <w:jc w:val="both"/>
        <w:rPr>
          <w:b/>
        </w:rPr>
      </w:pPr>
    </w:p>
    <w:p w:rsidR="00B17BA4" w:rsidRDefault="00B17BA4" w:rsidP="005111EF">
      <w:pPr>
        <w:pStyle w:val="Paragrafoelenco"/>
        <w:jc w:val="both"/>
        <w:rPr>
          <w:b/>
        </w:rPr>
      </w:pPr>
    </w:p>
    <w:p w:rsidR="00B17BA4" w:rsidRPr="00633B55" w:rsidRDefault="00B17BA4" w:rsidP="00633B55">
      <w:pPr>
        <w:jc w:val="both"/>
        <w:rPr>
          <w:b/>
        </w:rPr>
      </w:pPr>
    </w:p>
    <w:p w:rsidR="00252EF0" w:rsidRDefault="00252EF0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495442" w:rsidRDefault="00495442" w:rsidP="00495442">
      <w:pPr>
        <w:ind w:left="1080"/>
        <w:jc w:val="both"/>
      </w:pPr>
      <w:r w:rsidRPr="00FC2A8C">
        <w:t xml:space="preserve">La scultura raffigura il faraone </w:t>
      </w:r>
      <w:r w:rsidR="00FC2A8C">
        <w:t xml:space="preserve">in piedi </w:t>
      </w:r>
      <w:r w:rsidRPr="00FC2A8C">
        <w:t xml:space="preserve">con le mani </w:t>
      </w:r>
      <w:r w:rsidR="00FC2A8C">
        <w:t>lungo i fianchi e i pugni ben chiusi</w:t>
      </w:r>
      <w:r w:rsidR="003F44D4">
        <w:t xml:space="preserve"> a stringere lo scettro</w:t>
      </w:r>
      <w:r w:rsidRPr="00FC2A8C">
        <w:t>.</w:t>
      </w:r>
      <w:r w:rsidR="00FC2A8C">
        <w:t xml:space="preserve"> La posa è detta </w:t>
      </w:r>
      <w:r w:rsidR="001E1F26">
        <w:t xml:space="preserve">tecnicamente </w:t>
      </w:r>
      <w:r w:rsidR="00FC2A8C">
        <w:t>“stante” perché la statua appare nell’atto di avanzare verso l’osservatore, con la gamba sinistra in avanti rispetto alla destra.</w:t>
      </w:r>
      <w:r w:rsidR="007762D5">
        <w:t xml:space="preserve"> Porta la barba finta come ornamento indicante la sua elevata condizione di nobile.</w:t>
      </w:r>
      <w:r w:rsidRPr="00FC2A8C">
        <w:t xml:space="preserve"> Indossa il copricapo a righe </w:t>
      </w:r>
      <w:r w:rsidRPr="003F44D4">
        <w:rPr>
          <w:b/>
          <w:i/>
        </w:rPr>
        <w:t>nemes</w:t>
      </w:r>
      <w:r w:rsidRPr="00FC2A8C">
        <w:t xml:space="preserve">, il </w:t>
      </w:r>
      <w:r w:rsidRPr="003F44D4">
        <w:rPr>
          <w:b/>
          <w:i/>
        </w:rPr>
        <w:t>cobra ureo</w:t>
      </w:r>
      <w:r w:rsidRPr="00FC2A8C">
        <w:t xml:space="preserve"> sulla fronte e il </w:t>
      </w:r>
      <w:r w:rsidRPr="003F44D4">
        <w:rPr>
          <w:b/>
          <w:i/>
        </w:rPr>
        <w:t>gonnellino shendit</w:t>
      </w:r>
      <w:r w:rsidRPr="00FC2A8C">
        <w:t xml:space="preserve"> con una cintura a zigzag e un </w:t>
      </w:r>
      <w:r w:rsidRPr="003F44D4">
        <w:rPr>
          <w:b/>
          <w:i/>
        </w:rPr>
        <w:t>cartiglio</w:t>
      </w:r>
      <w:r w:rsidRPr="00FC2A8C">
        <w:t xml:space="preserve"> centrale recante il suo nome. </w:t>
      </w:r>
    </w:p>
    <w:p w:rsidR="003F22BC" w:rsidRPr="00FC2A8C" w:rsidRDefault="003F22BC" w:rsidP="00495442">
      <w:pPr>
        <w:ind w:left="1080"/>
        <w:jc w:val="both"/>
      </w:pPr>
    </w:p>
    <w:p w:rsidR="00A66805" w:rsidRPr="000F7591" w:rsidRDefault="00A66805" w:rsidP="00A66805">
      <w:pPr>
        <w:pStyle w:val="Paragrafoelenco"/>
        <w:jc w:val="both"/>
        <w:rPr>
          <w:color w:val="FF0000"/>
        </w:rPr>
      </w:pPr>
    </w:p>
    <w:p w:rsidR="00252EF0" w:rsidRPr="007762D5" w:rsidRDefault="00AA7A70" w:rsidP="00BD03AE">
      <w:pPr>
        <w:pStyle w:val="Paragrafoelenco"/>
        <w:numPr>
          <w:ilvl w:val="0"/>
          <w:numId w:val="21"/>
        </w:numPr>
        <w:jc w:val="both"/>
        <w:rPr>
          <w:b/>
          <w:u w:val="single"/>
        </w:rPr>
      </w:pPr>
      <w:r w:rsidRPr="000F7591">
        <w:rPr>
          <w:b/>
          <w:u w:val="single"/>
        </w:rPr>
        <w:t>INTERPRETAZIONE DEL MESSAGGIO DELL’ARTISTA ovvero DESCRIZIONE ICO</w:t>
      </w:r>
      <w:r w:rsidR="003C1EFB" w:rsidRPr="000F7591">
        <w:rPr>
          <w:b/>
          <w:u w:val="single"/>
        </w:rPr>
        <w:t>NO</w:t>
      </w:r>
      <w:r w:rsidRPr="000F7591">
        <w:rPr>
          <w:b/>
          <w:u w:val="single"/>
        </w:rPr>
        <w:t>LOGICA</w:t>
      </w:r>
      <w:r w:rsidRPr="000F7591">
        <w:rPr>
          <w:b/>
        </w:rPr>
        <w:t>:</w:t>
      </w:r>
    </w:p>
    <w:p w:rsidR="007762D5" w:rsidRDefault="007762D5" w:rsidP="007762D5">
      <w:pPr>
        <w:ind w:left="1080"/>
        <w:jc w:val="both"/>
      </w:pPr>
      <w:r w:rsidRPr="007762D5">
        <w:t>Thutmosi III</w:t>
      </w:r>
      <w:r>
        <w:t xml:space="preserve"> fu un grande stratega militare conquistando ampi territori della Siria e della Palestina. Figlio della regina </w:t>
      </w:r>
      <w:r w:rsidRPr="001E1F26">
        <w:rPr>
          <w:b/>
        </w:rPr>
        <w:t>Hatshepsut</w:t>
      </w:r>
      <w:r>
        <w:t>, moglie di Thutmosi II che morì prematuramente lasciandole la custodia del figlio e del regno. Infatt</w:t>
      </w:r>
      <w:r w:rsidR="00D9372E">
        <w:t>i</w:t>
      </w:r>
      <w:r>
        <w:t xml:space="preserve"> la regina regnò come tutore del figlio finche Thutmosis III non raggiunse la maggiore età.</w:t>
      </w:r>
    </w:p>
    <w:p w:rsidR="007762D5" w:rsidRDefault="007762D5" w:rsidP="007762D5">
      <w:pPr>
        <w:ind w:left="1080"/>
        <w:jc w:val="both"/>
      </w:pPr>
      <w:r>
        <w:t>La potenza del faraone ed il suo carattere divino sono rappresentati</w:t>
      </w:r>
      <w:r w:rsidR="00D9372E">
        <w:t xml:space="preserve">, nella statua, </w:t>
      </w:r>
      <w:r>
        <w:t xml:space="preserve"> dai simboli regali (</w:t>
      </w:r>
      <w:r w:rsidR="00D9372E">
        <w:t xml:space="preserve">il </w:t>
      </w:r>
      <w:r>
        <w:t xml:space="preserve">copricapo, </w:t>
      </w:r>
      <w:r w:rsidR="00D9372E">
        <w:t xml:space="preserve">lo </w:t>
      </w:r>
      <w:r>
        <w:t xml:space="preserve">scettro, </w:t>
      </w:r>
      <w:r w:rsidR="00D9372E">
        <w:t xml:space="preserve">La barba posticcia, il </w:t>
      </w:r>
      <w:r>
        <w:t>cobra ecc.), ma anche dal materiale prezioso di cui è fatta la statua</w:t>
      </w:r>
      <w:r w:rsidR="00E729F7">
        <w:t xml:space="preserve"> stessa</w:t>
      </w:r>
      <w:r>
        <w:t xml:space="preserve"> e dalla </w:t>
      </w:r>
      <w:r w:rsidRPr="00DF75A0">
        <w:rPr>
          <w:b/>
          <w:i/>
        </w:rPr>
        <w:t>posa solenne</w:t>
      </w:r>
      <w:r>
        <w:t xml:space="preserve">, </w:t>
      </w:r>
      <w:r w:rsidR="00E729F7">
        <w:t xml:space="preserve">nonché </w:t>
      </w:r>
      <w:r>
        <w:t xml:space="preserve">dalle forme essenziali e finemente modellate e dallo </w:t>
      </w:r>
      <w:r w:rsidRPr="00DF75A0">
        <w:rPr>
          <w:b/>
          <w:i/>
        </w:rPr>
        <w:t>sguardo rivolto all’infinito</w:t>
      </w:r>
      <w:r>
        <w:t xml:space="preserve"> in </w:t>
      </w:r>
      <w:r w:rsidRPr="00DF75A0">
        <w:t>un’</w:t>
      </w:r>
      <w:r w:rsidRPr="00DF75A0">
        <w:rPr>
          <w:b/>
          <w:i/>
        </w:rPr>
        <w:t>espressione neutrale</w:t>
      </w:r>
      <w:r>
        <w:t xml:space="preserve"> che non denuncia alcun tipo di sentimento.</w:t>
      </w:r>
      <w:r w:rsidR="00F37723">
        <w:t xml:space="preserve"> Infatti il faraone, per la sua duplice natura divina e umana, è al disopra di tutto, uomini e cose.</w:t>
      </w:r>
    </w:p>
    <w:p w:rsidR="008755C7" w:rsidRDefault="008755C7" w:rsidP="007762D5">
      <w:pPr>
        <w:ind w:left="1080"/>
        <w:jc w:val="both"/>
      </w:pPr>
      <w:r>
        <w:t xml:space="preserve">Il </w:t>
      </w:r>
      <w:r w:rsidRPr="00116CAE">
        <w:rPr>
          <w:b/>
          <w:i/>
        </w:rPr>
        <w:t>cobra</w:t>
      </w:r>
      <w:r>
        <w:t xml:space="preserve"> era un animale sacro e la sua rappresentazione (denominata </w:t>
      </w:r>
      <w:r w:rsidRPr="00116CAE">
        <w:rPr>
          <w:b/>
          <w:i/>
        </w:rPr>
        <w:t>ureo</w:t>
      </w:r>
      <w:r w:rsidR="00116CAE">
        <w:t xml:space="preserve">) è segno di regalità. </w:t>
      </w:r>
      <w:r>
        <w:t>Posto sul copricapo del faraone indica protezione e potenza, perché incute timore ai sudditi.</w:t>
      </w:r>
    </w:p>
    <w:p w:rsidR="008755C7" w:rsidRDefault="008755C7" w:rsidP="007762D5">
      <w:pPr>
        <w:ind w:left="1080"/>
        <w:jc w:val="both"/>
      </w:pPr>
      <w:r>
        <w:t xml:space="preserve">Il sovrano porta il </w:t>
      </w:r>
      <w:r w:rsidRPr="00AA29CA">
        <w:rPr>
          <w:b/>
          <w:i/>
        </w:rPr>
        <w:t>nemes</w:t>
      </w:r>
      <w:r>
        <w:t>, copricapo di lino simbolo della sua natura divina. Esso avvolgeva il capo ricadendo in due ali simmetriche sulle spalle.</w:t>
      </w:r>
    </w:p>
    <w:p w:rsidR="008755C7" w:rsidRDefault="008755C7" w:rsidP="007762D5">
      <w:pPr>
        <w:ind w:left="1080"/>
        <w:jc w:val="both"/>
      </w:pPr>
      <w:r>
        <w:t xml:space="preserve">La </w:t>
      </w:r>
      <w:r w:rsidRPr="00AA29CA">
        <w:rPr>
          <w:b/>
          <w:i/>
        </w:rPr>
        <w:t>barba</w:t>
      </w:r>
      <w:r w:rsidR="00AA29CA">
        <w:t xml:space="preserve"> è un ornamento </w:t>
      </w:r>
      <w:r>
        <w:t>posticcio, che indica la nobiltà come attributo convenzionale del faraone.</w:t>
      </w:r>
    </w:p>
    <w:p w:rsidR="008755C7" w:rsidRDefault="008755C7" w:rsidP="007762D5">
      <w:pPr>
        <w:ind w:left="1080"/>
        <w:jc w:val="both"/>
      </w:pPr>
      <w:r>
        <w:t xml:space="preserve">La </w:t>
      </w:r>
      <w:r w:rsidRPr="005C2635">
        <w:rPr>
          <w:b/>
          <w:i/>
        </w:rPr>
        <w:t>cintura</w:t>
      </w:r>
      <w:r>
        <w:t xml:space="preserve"> è incisa con un </w:t>
      </w:r>
      <w:r w:rsidRPr="005C2635">
        <w:rPr>
          <w:b/>
          <w:i/>
        </w:rPr>
        <w:t>cartiglio</w:t>
      </w:r>
      <w:r>
        <w:t xml:space="preserve"> centrale che riporta il nome del re.</w:t>
      </w:r>
    </w:p>
    <w:p w:rsidR="007762D5" w:rsidRDefault="008755C7" w:rsidP="008755C7">
      <w:pPr>
        <w:ind w:left="1080"/>
        <w:jc w:val="both"/>
      </w:pPr>
      <w:r>
        <w:t xml:space="preserve">La </w:t>
      </w:r>
      <w:r w:rsidRPr="00DD4E9B">
        <w:rPr>
          <w:b/>
          <w:i/>
        </w:rPr>
        <w:t>gonna</w:t>
      </w:r>
      <w:r>
        <w:t xml:space="preserve">, in lino finemente plissettato e il </w:t>
      </w:r>
      <w:r w:rsidRPr="00DD4E9B">
        <w:rPr>
          <w:b/>
          <w:i/>
        </w:rPr>
        <w:t>nemes</w:t>
      </w:r>
      <w:r>
        <w:t xml:space="preserve"> fanno risaltare, per contrasto, i nitidi volumi del corpo, dalla superficie levigatissima.</w:t>
      </w:r>
    </w:p>
    <w:p w:rsidR="003F22BC" w:rsidRDefault="003F22BC" w:rsidP="008755C7">
      <w:pPr>
        <w:ind w:left="1080"/>
        <w:jc w:val="both"/>
      </w:pPr>
    </w:p>
    <w:p w:rsidR="00B17BA4" w:rsidRDefault="00B17BA4" w:rsidP="008755C7">
      <w:pPr>
        <w:ind w:left="1080"/>
        <w:jc w:val="both"/>
      </w:pPr>
    </w:p>
    <w:p w:rsidR="00B17BA4" w:rsidRDefault="00B17BA4" w:rsidP="008755C7">
      <w:pPr>
        <w:ind w:left="1080"/>
        <w:jc w:val="both"/>
      </w:pPr>
    </w:p>
    <w:p w:rsidR="00B17BA4" w:rsidRDefault="00B17BA4" w:rsidP="008755C7">
      <w:pPr>
        <w:ind w:left="1080"/>
        <w:jc w:val="both"/>
      </w:pPr>
    </w:p>
    <w:p w:rsidR="00B17BA4" w:rsidRDefault="00B17BA4" w:rsidP="008755C7">
      <w:pPr>
        <w:ind w:left="1080"/>
        <w:jc w:val="both"/>
      </w:pPr>
    </w:p>
    <w:p w:rsidR="00B17BA4" w:rsidRPr="008755C7" w:rsidRDefault="00B17BA4" w:rsidP="008755C7">
      <w:pPr>
        <w:ind w:left="1080"/>
        <w:jc w:val="both"/>
      </w:pPr>
      <w:bookmarkStart w:id="0" w:name="_GoBack"/>
      <w:bookmarkEnd w:id="0"/>
    </w:p>
    <w:p w:rsidR="000F7591" w:rsidRDefault="000F7591" w:rsidP="000F7591">
      <w:pPr>
        <w:pStyle w:val="Paragrafoelenco"/>
        <w:ind w:left="1080"/>
        <w:jc w:val="both"/>
        <w:rPr>
          <w:b/>
        </w:rPr>
      </w:pPr>
    </w:p>
    <w:p w:rsidR="006F470A" w:rsidRDefault="00EB5B27" w:rsidP="006F470A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844F90" w:rsidRDefault="00844F90" w:rsidP="00844F90">
      <w:pPr>
        <w:ind w:left="1080"/>
        <w:jc w:val="both"/>
      </w:pPr>
      <w:r w:rsidRPr="001224D7">
        <w:rPr>
          <w:b/>
          <w:i/>
        </w:rPr>
        <w:t>Composizione</w:t>
      </w:r>
      <w:r w:rsidRPr="00844F90">
        <w:t xml:space="preserve"> statica</w:t>
      </w:r>
      <w:r>
        <w:t xml:space="preserve"> e posa della statua decisamente </w:t>
      </w:r>
      <w:r w:rsidRPr="001224D7">
        <w:rPr>
          <w:b/>
          <w:i/>
        </w:rPr>
        <w:t>simmetrica</w:t>
      </w:r>
      <w:r>
        <w:t xml:space="preserve"> che ricalca le </w:t>
      </w:r>
      <w:r w:rsidRPr="00D169E0">
        <w:rPr>
          <w:b/>
          <w:i/>
        </w:rPr>
        <w:t>proporzioni del corpo umano</w:t>
      </w:r>
      <w:r>
        <w:t xml:space="preserve"> che gli artisti egiziani utilizzavano anche nelle riproduzioni pittoriche: suddividevano il corpo in 18 moduli con i quali proporzionavano le diverse arti anatomica.</w:t>
      </w:r>
    </w:p>
    <w:p w:rsidR="00844F90" w:rsidRDefault="00844F90" w:rsidP="00844F90">
      <w:pPr>
        <w:ind w:left="1080"/>
        <w:jc w:val="both"/>
      </w:pPr>
      <w:r>
        <w:t xml:space="preserve">Caratteristica della statuaria egizia è lo </w:t>
      </w:r>
      <w:r w:rsidRPr="003F22BC">
        <w:rPr>
          <w:b/>
          <w:i/>
        </w:rPr>
        <w:t>sguardo</w:t>
      </w:r>
      <w:r>
        <w:t xml:space="preserve"> rivolto all’infinito delle statue che ritraggono il faraone nella sua doppia identità di dio e sovrano.</w:t>
      </w:r>
    </w:p>
    <w:p w:rsidR="008755C7" w:rsidRPr="003F22BC" w:rsidRDefault="008755C7" w:rsidP="00844F90">
      <w:pPr>
        <w:ind w:left="1080"/>
        <w:jc w:val="both"/>
      </w:pPr>
      <w:r>
        <w:t xml:space="preserve">I </w:t>
      </w:r>
      <w:r w:rsidRPr="003F22BC">
        <w:rPr>
          <w:b/>
          <w:i/>
        </w:rPr>
        <w:t>volumi</w:t>
      </w:r>
      <w:r>
        <w:t xml:space="preserve"> del corpo formano una superficie levigatissima che, esaltando la </w:t>
      </w:r>
      <w:r w:rsidRPr="003F22BC">
        <w:rPr>
          <w:b/>
          <w:i/>
        </w:rPr>
        <w:t>dolcezza delle linee</w:t>
      </w:r>
      <w:r>
        <w:t xml:space="preserve"> della muscolatura della statua, determina un morbido gioco di luci e ombre</w:t>
      </w:r>
      <w:r w:rsidR="003F22BC">
        <w:t xml:space="preserve">, ovvero di </w:t>
      </w:r>
      <w:r w:rsidR="003F22BC" w:rsidRPr="003F22BC">
        <w:rPr>
          <w:b/>
          <w:i/>
        </w:rPr>
        <w:t>chiaro-scuri</w:t>
      </w:r>
      <w:r w:rsidR="003F22BC">
        <w:t>.</w:t>
      </w:r>
    </w:p>
    <w:p w:rsidR="00B43560" w:rsidRPr="0016228B" w:rsidRDefault="00B43560" w:rsidP="0016228B">
      <w:pPr>
        <w:jc w:val="both"/>
        <w:rPr>
          <w:b/>
        </w:rPr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6B" w:rsidRDefault="0080716B" w:rsidP="004C4712">
      <w:pPr>
        <w:spacing w:after="0" w:line="240" w:lineRule="auto"/>
      </w:pPr>
      <w:r>
        <w:separator/>
      </w:r>
    </w:p>
  </w:endnote>
  <w:endnote w:type="continuationSeparator" w:id="0">
    <w:p w:rsidR="0080716B" w:rsidRDefault="0080716B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55" w:rsidRDefault="00633B55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33B55" w:rsidRDefault="00633B55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633B55" w:rsidRDefault="00633B55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633B55" w:rsidRDefault="00633B55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C138E8" w:rsidRPr="00C138E8">
                    <w:rPr>
                      <w:noProof/>
                      <w:color w:val="FFFFFF" w:themeColor="background1"/>
                    </w:rPr>
                    <w:t>3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6B" w:rsidRDefault="0080716B" w:rsidP="004C4712">
      <w:pPr>
        <w:spacing w:after="0" w:line="240" w:lineRule="auto"/>
      </w:pPr>
      <w:r>
        <w:separator/>
      </w:r>
    </w:p>
  </w:footnote>
  <w:footnote w:type="continuationSeparator" w:id="0">
    <w:p w:rsidR="0080716B" w:rsidRDefault="0080716B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55" w:rsidRDefault="00633B55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633B55" w:rsidRDefault="00633B55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visiva (arti figurative): “La statua di Thutmosi III” a Luxor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633B55" w:rsidRDefault="00633B55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>
                    <w:rPr>
                      <w:color w:val="FFFFFF" w:themeColor="background1"/>
                      <w:sz w:val="32"/>
                      <w:szCs w:val="36"/>
                    </w:rPr>
                    <w:t>.2015/16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984"/>
    <w:multiLevelType w:val="hybridMultilevel"/>
    <w:tmpl w:val="CF520D92"/>
    <w:lvl w:ilvl="0" w:tplc="ED28A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7" w15:restartNumberingAfterBreak="0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20B03786"/>
    <w:multiLevelType w:val="hybridMultilevel"/>
    <w:tmpl w:val="09287EEA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3" w15:restartNumberingAfterBreak="0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7" w15:restartNumberingAfterBreak="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1" w15:restartNumberingAfterBreak="0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 w15:restartNumberingAfterBreak="0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24"/>
  </w:num>
  <w:num w:numId="5">
    <w:abstractNumId w:val="7"/>
  </w:num>
  <w:num w:numId="6">
    <w:abstractNumId w:val="29"/>
  </w:num>
  <w:num w:numId="7">
    <w:abstractNumId w:val="15"/>
  </w:num>
  <w:num w:numId="8">
    <w:abstractNumId w:val="18"/>
  </w:num>
  <w:num w:numId="9">
    <w:abstractNumId w:val="17"/>
  </w:num>
  <w:num w:numId="10">
    <w:abstractNumId w:val="26"/>
  </w:num>
  <w:num w:numId="11">
    <w:abstractNumId w:val="8"/>
  </w:num>
  <w:num w:numId="12">
    <w:abstractNumId w:val="13"/>
  </w:num>
  <w:num w:numId="13">
    <w:abstractNumId w:val="34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28"/>
  </w:num>
  <w:num w:numId="19">
    <w:abstractNumId w:val="9"/>
  </w:num>
  <w:num w:numId="20">
    <w:abstractNumId w:val="33"/>
  </w:num>
  <w:num w:numId="21">
    <w:abstractNumId w:val="31"/>
  </w:num>
  <w:num w:numId="22">
    <w:abstractNumId w:val="11"/>
  </w:num>
  <w:num w:numId="23">
    <w:abstractNumId w:val="10"/>
  </w:num>
  <w:num w:numId="24">
    <w:abstractNumId w:val="3"/>
  </w:num>
  <w:num w:numId="25">
    <w:abstractNumId w:val="2"/>
  </w:num>
  <w:num w:numId="26">
    <w:abstractNumId w:val="16"/>
  </w:num>
  <w:num w:numId="27">
    <w:abstractNumId w:val="30"/>
  </w:num>
  <w:num w:numId="28">
    <w:abstractNumId w:val="14"/>
  </w:num>
  <w:num w:numId="29">
    <w:abstractNumId w:val="6"/>
  </w:num>
  <w:num w:numId="30">
    <w:abstractNumId w:val="5"/>
  </w:num>
  <w:num w:numId="31">
    <w:abstractNumId w:val="23"/>
  </w:num>
  <w:num w:numId="32">
    <w:abstractNumId w:val="32"/>
  </w:num>
  <w:num w:numId="33">
    <w:abstractNumId w:val="21"/>
  </w:num>
  <w:num w:numId="34">
    <w:abstractNumId w:val="25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1" w:cryptProviderType="rsaAES" w:cryptAlgorithmClass="hash" w:cryptAlgorithmType="typeAny" w:cryptAlgorithmSid="14" w:cryptSpinCount="100000" w:hash="1XriE/IUE0w1FxGOgZGkTTbTFJo4ykuPkVWQsjgXec9TB7fbhSa0yeyef9/wdmnCDiN6p4O+8XdceFJT3yB3Ig==" w:salt="VFKN/mT0xOEAnmld4lbWAA==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2"/>
    <w:rsid w:val="00042E52"/>
    <w:rsid w:val="000A637C"/>
    <w:rsid w:val="000F7591"/>
    <w:rsid w:val="00101FE8"/>
    <w:rsid w:val="00116CAE"/>
    <w:rsid w:val="001224D7"/>
    <w:rsid w:val="0016228B"/>
    <w:rsid w:val="00171B53"/>
    <w:rsid w:val="001C32C3"/>
    <w:rsid w:val="001E1F26"/>
    <w:rsid w:val="001E40E0"/>
    <w:rsid w:val="00203929"/>
    <w:rsid w:val="002065E7"/>
    <w:rsid w:val="00252EF0"/>
    <w:rsid w:val="0029057E"/>
    <w:rsid w:val="002C3C2A"/>
    <w:rsid w:val="00311E98"/>
    <w:rsid w:val="00330B14"/>
    <w:rsid w:val="00390B35"/>
    <w:rsid w:val="003A47FD"/>
    <w:rsid w:val="003C1EFB"/>
    <w:rsid w:val="003D1B37"/>
    <w:rsid w:val="003D6135"/>
    <w:rsid w:val="003F22BC"/>
    <w:rsid w:val="003F44D4"/>
    <w:rsid w:val="0045720B"/>
    <w:rsid w:val="004636FA"/>
    <w:rsid w:val="00485240"/>
    <w:rsid w:val="00495442"/>
    <w:rsid w:val="004C4712"/>
    <w:rsid w:val="005111EF"/>
    <w:rsid w:val="00543828"/>
    <w:rsid w:val="00551606"/>
    <w:rsid w:val="00572D2A"/>
    <w:rsid w:val="005872B2"/>
    <w:rsid w:val="00597CE6"/>
    <w:rsid w:val="005B3D42"/>
    <w:rsid w:val="005C2635"/>
    <w:rsid w:val="005F7332"/>
    <w:rsid w:val="00633B55"/>
    <w:rsid w:val="006400FE"/>
    <w:rsid w:val="00645170"/>
    <w:rsid w:val="00664C39"/>
    <w:rsid w:val="0067191A"/>
    <w:rsid w:val="006871B4"/>
    <w:rsid w:val="006A560C"/>
    <w:rsid w:val="006B3259"/>
    <w:rsid w:val="006C53A2"/>
    <w:rsid w:val="006E1C96"/>
    <w:rsid w:val="006F470A"/>
    <w:rsid w:val="00717EE1"/>
    <w:rsid w:val="00734384"/>
    <w:rsid w:val="007732DF"/>
    <w:rsid w:val="007762D5"/>
    <w:rsid w:val="00785F50"/>
    <w:rsid w:val="007A11AA"/>
    <w:rsid w:val="007D3D22"/>
    <w:rsid w:val="007F6047"/>
    <w:rsid w:val="0080716B"/>
    <w:rsid w:val="00816003"/>
    <w:rsid w:val="00816ADD"/>
    <w:rsid w:val="008339A9"/>
    <w:rsid w:val="00836FA0"/>
    <w:rsid w:val="00844F90"/>
    <w:rsid w:val="00861A2B"/>
    <w:rsid w:val="0087248D"/>
    <w:rsid w:val="008755C7"/>
    <w:rsid w:val="008941EE"/>
    <w:rsid w:val="008B57F1"/>
    <w:rsid w:val="008D716A"/>
    <w:rsid w:val="00912B10"/>
    <w:rsid w:val="00917232"/>
    <w:rsid w:val="00956073"/>
    <w:rsid w:val="00982AB1"/>
    <w:rsid w:val="00994F03"/>
    <w:rsid w:val="009F6023"/>
    <w:rsid w:val="00A30AA8"/>
    <w:rsid w:val="00A56129"/>
    <w:rsid w:val="00A66805"/>
    <w:rsid w:val="00AA29CA"/>
    <w:rsid w:val="00AA7A70"/>
    <w:rsid w:val="00AD0B3A"/>
    <w:rsid w:val="00B17BA4"/>
    <w:rsid w:val="00B331A8"/>
    <w:rsid w:val="00B43560"/>
    <w:rsid w:val="00B75585"/>
    <w:rsid w:val="00B80E5F"/>
    <w:rsid w:val="00BD03AE"/>
    <w:rsid w:val="00BD4A61"/>
    <w:rsid w:val="00BD5130"/>
    <w:rsid w:val="00BD74AE"/>
    <w:rsid w:val="00BE5F04"/>
    <w:rsid w:val="00BF2E88"/>
    <w:rsid w:val="00C12464"/>
    <w:rsid w:val="00C138E8"/>
    <w:rsid w:val="00C63868"/>
    <w:rsid w:val="00C814FD"/>
    <w:rsid w:val="00D03E1D"/>
    <w:rsid w:val="00D169E0"/>
    <w:rsid w:val="00D93635"/>
    <w:rsid w:val="00D9372E"/>
    <w:rsid w:val="00DC1D4F"/>
    <w:rsid w:val="00DD4E9B"/>
    <w:rsid w:val="00DE365D"/>
    <w:rsid w:val="00DF2840"/>
    <w:rsid w:val="00DF75A0"/>
    <w:rsid w:val="00E729F7"/>
    <w:rsid w:val="00EB5B27"/>
    <w:rsid w:val="00EB7E6C"/>
    <w:rsid w:val="00ED31A0"/>
    <w:rsid w:val="00F24BC8"/>
    <w:rsid w:val="00F37723"/>
    <w:rsid w:val="00F5426E"/>
    <w:rsid w:val="00F832DF"/>
    <w:rsid w:val="00FC2A8C"/>
    <w:rsid w:val="00FF05B2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17F15CD"/>
  <w15:docId w15:val="{0ABEF1CE-D393-4F1E-A34E-ED2B3ED1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7D2A"/>
    <w:rsid w:val="003F33AD"/>
    <w:rsid w:val="004E7D2A"/>
    <w:rsid w:val="005417E3"/>
    <w:rsid w:val="005C2233"/>
    <w:rsid w:val="006E1930"/>
    <w:rsid w:val="00852176"/>
    <w:rsid w:val="008F1592"/>
    <w:rsid w:val="00B2540E"/>
    <w:rsid w:val="00B4715F"/>
    <w:rsid w:val="00C23B35"/>
    <w:rsid w:val="00D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475</Words>
  <Characters>2710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figurative): “La statua di Thutmosi III” a Luxor</vt:lpstr>
    </vt:vector>
  </TitlesOfParts>
  <Company>Lezioni di Storia dell’Arte - Prof.ssa Annamaria Donadio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“La statua di Thutmosi III” a Luxor</dc:title>
  <dc:subject/>
  <dc:creator>Giacomo</dc:creator>
  <cp:keywords/>
  <dc:description/>
  <cp:lastModifiedBy>Annamaria Donadio</cp:lastModifiedBy>
  <cp:revision>84</cp:revision>
  <dcterms:created xsi:type="dcterms:W3CDTF">2013-10-31T17:24:00Z</dcterms:created>
  <dcterms:modified xsi:type="dcterms:W3CDTF">2016-01-26T18:51:00Z</dcterms:modified>
</cp:coreProperties>
</file>